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91CA" w14:textId="372B69AB" w:rsidR="00B068CE" w:rsidRPr="00C45E7A" w:rsidRDefault="00C86D46" w:rsidP="00C45E7A">
      <w:pPr>
        <w:rPr>
          <w:rStyle w:val="Ninguno"/>
          <w:lang w:val="es-ES"/>
        </w:rPr>
      </w:pPr>
      <w:r>
        <w:rPr>
          <w:noProof/>
        </w:rPr>
        <w:drawing>
          <wp:anchor distT="0" distB="0" distL="114300" distR="114300" simplePos="0" relativeHeight="251658240" behindDoc="0" locked="0" layoutInCell="1" allowOverlap="1" wp14:anchorId="3D0BBE28" wp14:editId="6788CAD1">
            <wp:simplePos x="0" y="0"/>
            <wp:positionH relativeFrom="page">
              <wp:posOffset>-19050</wp:posOffset>
            </wp:positionH>
            <wp:positionV relativeFrom="margin">
              <wp:posOffset>-890270</wp:posOffset>
            </wp:positionV>
            <wp:extent cx="7620000" cy="2160270"/>
            <wp:effectExtent l="0" t="0" r="0" b="0"/>
            <wp:wrapSquare wrapText="bothSides"/>
            <wp:docPr id="14035540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54056"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620000" cy="2160270"/>
                    </a:xfrm>
                    <a:prstGeom prst="rect">
                      <a:avLst/>
                    </a:prstGeom>
                  </pic:spPr>
                </pic:pic>
              </a:graphicData>
            </a:graphic>
            <wp14:sizeRelH relativeFrom="margin">
              <wp14:pctWidth>0</wp14:pctWidth>
            </wp14:sizeRelH>
            <wp14:sizeRelV relativeFrom="margin">
              <wp14:pctHeight>0</wp14:pctHeight>
            </wp14:sizeRelV>
          </wp:anchor>
        </w:drawing>
      </w:r>
    </w:p>
    <w:p w14:paraId="78ACFD72" w14:textId="0A525454" w:rsidR="00B068CE" w:rsidRPr="00D34284" w:rsidRDefault="00B068CE" w:rsidP="00BE2AE7">
      <w:pPr>
        <w:spacing w:after="0" w:line="240" w:lineRule="auto"/>
        <w:jc w:val="center"/>
        <w:rPr>
          <w:rStyle w:val="Ninguno"/>
          <w:rFonts w:ascii="Arial" w:eastAsia="Arial" w:hAnsi="Arial" w:cs="Arial"/>
          <w:b/>
          <w:bCs/>
          <w:color w:val="000000"/>
          <w:u w:color="000000"/>
        </w:rPr>
      </w:pPr>
      <w:r>
        <w:rPr>
          <w:rStyle w:val="Ninguno"/>
          <w:rFonts w:ascii="Arial" w:hAnsi="Arial" w:cs="Arial"/>
          <w:b/>
          <w:bCs/>
          <w:color w:val="000000"/>
          <w:u w:color="000000"/>
        </w:rPr>
        <w:br/>
      </w:r>
      <w:r w:rsidR="00D865E7" w:rsidRPr="008C3C1E">
        <w:rPr>
          <w:rFonts w:ascii="Arial" w:hAnsi="Arial" w:cs="Arial"/>
          <w:b/>
          <w:bCs/>
        </w:rPr>
        <w:t>Del “Mayo feminista” a la biografía: trayectorias estudiantiles y transformación del orden de género en Chile</w:t>
      </w:r>
    </w:p>
    <w:p w14:paraId="30523EBC" w14:textId="77777777" w:rsidR="00D865E7" w:rsidRPr="00D34284" w:rsidRDefault="00D865E7" w:rsidP="00BE2AE7">
      <w:pPr>
        <w:pStyle w:val="Poromisin"/>
        <w:rPr>
          <w:rFonts w:ascii="Arial" w:eastAsia="Arial" w:hAnsi="Arial" w:cs="Arial"/>
          <w:b/>
          <w:bCs/>
          <w:u w:color="000000"/>
          <w:lang w:val="es-ES_tradnl"/>
        </w:rPr>
      </w:pPr>
    </w:p>
    <w:p w14:paraId="2683BCDF" w14:textId="4379FC07" w:rsidR="00B068CE" w:rsidRPr="00D34284" w:rsidRDefault="00C45E7A" w:rsidP="00BE2AE7">
      <w:pPr>
        <w:pStyle w:val="Poromisin"/>
        <w:rPr>
          <w:rStyle w:val="Ninguno"/>
          <w:rFonts w:ascii="Arial" w:eastAsia="Arial" w:hAnsi="Arial" w:cs="Arial"/>
          <w:b/>
          <w:bCs/>
          <w:u w:color="000000"/>
        </w:rPr>
      </w:pPr>
      <w:r>
        <w:rPr>
          <w:rStyle w:val="Ninguno"/>
          <w:rFonts w:ascii="Arial" w:hAnsi="Arial" w:cs="Arial"/>
          <w:b/>
          <w:bCs/>
          <w:u w:color="000000"/>
        </w:rPr>
        <w:t>Román-Alonso, Helena</w:t>
      </w:r>
    </w:p>
    <w:p w14:paraId="26F175CE" w14:textId="54F74929" w:rsidR="00B068CE" w:rsidRPr="00D34284" w:rsidRDefault="00B068CE" w:rsidP="00BE2AE7">
      <w:pPr>
        <w:pStyle w:val="Poromisin"/>
        <w:rPr>
          <w:rStyle w:val="Ninguno"/>
          <w:rFonts w:ascii="Arial" w:eastAsia="Arial" w:hAnsi="Arial" w:cs="Arial"/>
          <w:u w:color="000000"/>
        </w:rPr>
      </w:pPr>
      <w:r w:rsidRPr="00D34284">
        <w:rPr>
          <w:rStyle w:val="Ninguno"/>
          <w:rFonts w:ascii="Arial" w:hAnsi="Arial" w:cs="Arial"/>
          <w:u w:color="000000"/>
          <w:vertAlign w:val="superscript"/>
        </w:rPr>
        <w:t xml:space="preserve">a </w:t>
      </w:r>
      <w:r w:rsidR="00C45E7A">
        <w:rPr>
          <w:rStyle w:val="Ninguno"/>
          <w:rFonts w:ascii="Arial" w:hAnsi="Arial" w:cs="Arial"/>
          <w:u w:color="000000"/>
        </w:rPr>
        <w:t>Universidad Alberto Hurtado</w:t>
      </w:r>
      <w:r w:rsidRPr="00D34284">
        <w:rPr>
          <w:rStyle w:val="Ninguno"/>
          <w:rFonts w:ascii="Arial" w:hAnsi="Arial" w:cs="Arial"/>
          <w:u w:color="000000"/>
        </w:rPr>
        <w:t>, dirección1, email</w:t>
      </w:r>
      <w:r w:rsidR="00BD7B8D">
        <w:rPr>
          <w:rStyle w:val="Ninguno"/>
          <w:rFonts w:ascii="Arial" w:hAnsi="Arial" w:cs="Arial"/>
          <w:u w:color="000000"/>
        </w:rPr>
        <w:t xml:space="preserve"> </w:t>
      </w:r>
      <w:r w:rsidR="005B2170">
        <w:rPr>
          <w:rFonts w:ascii="Arial" w:hAnsi="Arial" w:cs="Arial"/>
        </w:rPr>
        <w:t>hroman@uahurtado.cl</w:t>
      </w:r>
    </w:p>
    <w:p w14:paraId="18411B8E" w14:textId="77777777" w:rsidR="00B068CE" w:rsidRPr="00D34284" w:rsidRDefault="00B068CE" w:rsidP="00BE2AE7">
      <w:pPr>
        <w:pStyle w:val="Cuerpo"/>
        <w:jc w:val="both"/>
        <w:rPr>
          <w:rStyle w:val="Ninguno"/>
          <w:rFonts w:ascii="Arial" w:hAnsi="Arial" w:cs="Arial"/>
          <w:b/>
          <w:bCs/>
          <w:u w:color="000000"/>
        </w:rPr>
      </w:pPr>
    </w:p>
    <w:p w14:paraId="14CAE783" w14:textId="2CE3E03D" w:rsidR="00B068CE" w:rsidRPr="00491A43" w:rsidRDefault="00B068CE" w:rsidP="00BE2AE7">
      <w:pPr>
        <w:pStyle w:val="Cuerpo"/>
        <w:jc w:val="both"/>
        <w:rPr>
          <w:rStyle w:val="Ninguno"/>
          <w:rFonts w:ascii="Arial" w:eastAsia="Arial" w:hAnsi="Arial" w:cs="Arial"/>
          <w:color w:val="auto"/>
          <w:u w:color="000000"/>
        </w:rPr>
      </w:pPr>
      <w:r w:rsidRPr="00D34284">
        <w:rPr>
          <w:rStyle w:val="Ninguno"/>
          <w:rFonts w:ascii="Arial" w:hAnsi="Arial" w:cs="Arial"/>
          <w:b/>
          <w:bCs/>
          <w:u w:color="000000"/>
        </w:rPr>
        <w:t>Palabras clave:</w:t>
      </w:r>
      <w:r w:rsidRPr="00D34284">
        <w:rPr>
          <w:rStyle w:val="Ninguno"/>
          <w:rFonts w:ascii="Arial" w:hAnsi="Arial" w:cs="Arial"/>
          <w:u w:color="000000"/>
        </w:rPr>
        <w:t xml:space="preserve"> </w:t>
      </w:r>
      <w:r w:rsidR="008742B9" w:rsidRPr="008742B9">
        <w:rPr>
          <w:rStyle w:val="Ninguno"/>
          <w:rFonts w:ascii="Arial" w:eastAsiaTheme="minorHAnsi" w:hAnsi="Arial" w:cs="Arial"/>
          <w:bCs/>
          <w:color w:val="auto"/>
          <w:kern w:val="2"/>
          <w:u w:color="000000"/>
          <w:bdr w:val="none" w:sz="0" w:space="0" w:color="auto"/>
          <w14:ligatures w14:val="standardContextual"/>
        </w:rPr>
        <w:t>feminismo estudiantil</w:t>
      </w:r>
      <w:r w:rsidR="008742B9">
        <w:rPr>
          <w:rStyle w:val="Ninguno"/>
          <w:rFonts w:ascii="Arial" w:eastAsiaTheme="minorHAnsi" w:hAnsi="Arial" w:cs="Arial"/>
          <w:bCs/>
          <w:color w:val="auto"/>
          <w:kern w:val="2"/>
          <w:u w:color="000000"/>
          <w:bdr w:val="none" w:sz="0" w:space="0" w:color="auto"/>
          <w14:ligatures w14:val="standardContextual"/>
        </w:rPr>
        <w:t>,</w:t>
      </w:r>
      <w:r w:rsidR="008742B9" w:rsidRPr="008742B9">
        <w:rPr>
          <w:rStyle w:val="Ninguno"/>
          <w:rFonts w:ascii="Arial" w:eastAsiaTheme="minorHAnsi" w:hAnsi="Arial" w:cs="Arial"/>
          <w:bCs/>
          <w:color w:val="auto"/>
          <w:kern w:val="2"/>
          <w:u w:color="000000"/>
          <w:bdr w:val="none" w:sz="0" w:space="0" w:color="auto"/>
          <w14:ligatures w14:val="standardContextual"/>
        </w:rPr>
        <w:t xml:space="preserve"> trayectorias biográficas</w:t>
      </w:r>
      <w:r w:rsidR="008742B9">
        <w:rPr>
          <w:rStyle w:val="Ninguno"/>
          <w:rFonts w:ascii="Arial" w:eastAsiaTheme="minorHAnsi" w:hAnsi="Arial" w:cs="Arial"/>
          <w:bCs/>
          <w:color w:val="auto"/>
          <w:kern w:val="2"/>
          <w:u w:color="000000"/>
          <w:bdr w:val="none" w:sz="0" w:space="0" w:color="auto"/>
          <w14:ligatures w14:val="standardContextual"/>
        </w:rPr>
        <w:t>,</w:t>
      </w:r>
      <w:r w:rsidR="008742B9" w:rsidRPr="008742B9">
        <w:rPr>
          <w:rStyle w:val="Ninguno"/>
          <w:rFonts w:ascii="Arial" w:eastAsiaTheme="minorHAnsi" w:hAnsi="Arial" w:cs="Arial"/>
          <w:bCs/>
          <w:color w:val="auto"/>
          <w:kern w:val="2"/>
          <w:u w:color="000000"/>
          <w:bdr w:val="none" w:sz="0" w:space="0" w:color="auto"/>
          <w14:ligatures w14:val="standardContextual"/>
        </w:rPr>
        <w:t xml:space="preserve"> orden de género; agencia</w:t>
      </w:r>
      <w:r w:rsidR="008742B9">
        <w:rPr>
          <w:rStyle w:val="Ninguno"/>
          <w:rFonts w:ascii="Arial" w:eastAsiaTheme="minorHAnsi" w:hAnsi="Arial" w:cs="Arial"/>
          <w:bCs/>
          <w:color w:val="auto"/>
          <w:kern w:val="2"/>
          <w:u w:color="000000"/>
          <w:bdr w:val="none" w:sz="0" w:space="0" w:color="auto"/>
          <w14:ligatures w14:val="standardContextual"/>
        </w:rPr>
        <w:t>,</w:t>
      </w:r>
      <w:r w:rsidR="008742B9" w:rsidRPr="008742B9">
        <w:rPr>
          <w:rStyle w:val="Ninguno"/>
          <w:rFonts w:ascii="Arial" w:eastAsiaTheme="minorHAnsi" w:hAnsi="Arial" w:cs="Arial"/>
          <w:bCs/>
          <w:color w:val="auto"/>
          <w:kern w:val="2"/>
          <w:u w:color="000000"/>
          <w:bdr w:val="none" w:sz="0" w:space="0" w:color="auto"/>
          <w14:ligatures w14:val="standardContextual"/>
        </w:rPr>
        <w:t xml:space="preserve"> interseccionalidad</w:t>
      </w:r>
    </w:p>
    <w:p w14:paraId="472046A9" w14:textId="7FBF5841" w:rsidR="00B068CE" w:rsidRPr="00D34284" w:rsidRDefault="00B068CE" w:rsidP="00BE2AE7">
      <w:pPr>
        <w:spacing w:after="0" w:line="240" w:lineRule="auto"/>
        <w:rPr>
          <w:rFonts w:ascii="Arial" w:hAnsi="Arial" w:cs="Arial"/>
          <w:b/>
          <w:bCs/>
        </w:rPr>
      </w:pPr>
      <w:r w:rsidRPr="00D34284">
        <w:rPr>
          <w:rFonts w:ascii="Arial" w:hAnsi="Arial" w:cs="Arial"/>
          <w:b/>
          <w:bCs/>
        </w:rPr>
        <w:br/>
        <w:t>Grupo de trabajo</w:t>
      </w:r>
      <w:r w:rsidR="00491A43">
        <w:rPr>
          <w:rFonts w:ascii="Arial" w:hAnsi="Arial" w:cs="Arial"/>
          <w:b/>
          <w:bCs/>
        </w:rPr>
        <w:t>:</w:t>
      </w:r>
      <w:r w:rsidRPr="00D34284">
        <w:rPr>
          <w:rFonts w:ascii="Arial" w:hAnsi="Arial" w:cs="Arial"/>
          <w:b/>
          <w:bCs/>
        </w:rPr>
        <w:t xml:space="preserve"> </w:t>
      </w:r>
      <w:r w:rsidR="00C45E7A" w:rsidRPr="008C3C1E">
        <w:rPr>
          <w:rFonts w:ascii="Arial" w:hAnsi="Arial" w:cs="Arial"/>
        </w:rPr>
        <w:t>Sociología del Género</w:t>
      </w:r>
    </w:p>
    <w:p w14:paraId="3C439278" w14:textId="77777777" w:rsidR="00B068CE" w:rsidRPr="00D34284" w:rsidRDefault="00B068CE" w:rsidP="00BE2AE7">
      <w:pPr>
        <w:spacing w:after="0" w:line="240" w:lineRule="auto"/>
        <w:rPr>
          <w:rFonts w:ascii="Arial" w:hAnsi="Arial" w:cs="Arial"/>
        </w:rPr>
      </w:pPr>
    </w:p>
    <w:p w14:paraId="0756CD9B" w14:textId="77777777" w:rsidR="00B068CE" w:rsidRPr="00491A43" w:rsidRDefault="00B068CE" w:rsidP="00BE2AE7">
      <w:pPr>
        <w:spacing w:after="0" w:line="240" w:lineRule="auto"/>
        <w:rPr>
          <w:rFonts w:ascii="Arial" w:hAnsi="Arial" w:cs="Arial"/>
          <w:b/>
          <w:bCs/>
        </w:rPr>
      </w:pPr>
      <w:r w:rsidRPr="00491A43">
        <w:rPr>
          <w:rFonts w:ascii="Arial" w:hAnsi="Arial" w:cs="Arial"/>
          <w:b/>
          <w:bCs/>
        </w:rPr>
        <w:t>1) Introducción: presentación y objetivos</w:t>
      </w:r>
    </w:p>
    <w:p w14:paraId="5336CC21" w14:textId="77777777" w:rsidR="00FF741C" w:rsidRPr="00FB3C8A" w:rsidRDefault="00FF741C" w:rsidP="00BE2AE7">
      <w:pPr>
        <w:spacing w:after="0" w:line="240" w:lineRule="auto"/>
        <w:jc w:val="both"/>
        <w:rPr>
          <w:rFonts w:ascii="Arial" w:hAnsi="Arial" w:cs="Arial"/>
        </w:rPr>
      </w:pPr>
      <w:r w:rsidRPr="00FB3C8A">
        <w:rPr>
          <w:rFonts w:ascii="Arial" w:hAnsi="Arial" w:cs="Arial"/>
        </w:rPr>
        <w:t>Las movilizaciones feministas de 2018 en Chile marcaron un punto de inflexión en la problematización pública del sexismo en la educación superior. Ese ciclo visibilizó desigualdades de género, violencias sexuales y culturas institucionales sexistas en universidades y otros espacios formativos, además de abrir nuevas discusiones sobre politización, organización feminista e institucionalización de sus demandas (De Fina y Figueroa, 2019; Hiner y López Dietz, 2021; Dinamarca-Noack y Trujillo-Cristoffanini, 2021). Sin embargo, buena parte de la literatura se ha concentrado en el movimiento social como tal —sus repertorios, discursos y efectos institucionales—, prestando menos atención a cómo esas experiencias de politización atraviesan las trayectorias vitales de quienes participaron en las movilizaciones o se vincularon a espacios feministas en la educación superior.</w:t>
      </w:r>
    </w:p>
    <w:p w14:paraId="7841ED38" w14:textId="77777777" w:rsidR="00FF741C" w:rsidRPr="00FB3C8A" w:rsidRDefault="00FF741C" w:rsidP="00BE2AE7">
      <w:pPr>
        <w:spacing w:after="0" w:line="240" w:lineRule="auto"/>
        <w:jc w:val="both"/>
        <w:rPr>
          <w:rFonts w:ascii="Arial" w:hAnsi="Arial" w:cs="Arial"/>
        </w:rPr>
      </w:pPr>
      <w:r>
        <w:rPr>
          <w:rFonts w:ascii="Arial" w:hAnsi="Arial" w:cs="Arial"/>
        </w:rPr>
        <w:t xml:space="preserve">Además, </w:t>
      </w:r>
      <w:r w:rsidRPr="00FB3C8A">
        <w:rPr>
          <w:rFonts w:ascii="Arial" w:hAnsi="Arial" w:cs="Arial"/>
        </w:rPr>
        <w:t>la investigación ha privilegiado las universidades, especialmente las más prestigiosas, dejando menos explorada la experiencia de estudiantes de institutos profesionales (IP</w:t>
      </w:r>
      <w:r>
        <w:rPr>
          <w:rFonts w:ascii="Arial" w:hAnsi="Arial" w:cs="Arial"/>
        </w:rPr>
        <w:t>, formación profesional superior</w:t>
      </w:r>
      <w:r w:rsidRPr="00FB3C8A">
        <w:rPr>
          <w:rFonts w:ascii="Arial" w:hAnsi="Arial" w:cs="Arial"/>
        </w:rPr>
        <w:t>) y centros de formación técnica (CFT</w:t>
      </w:r>
      <w:r>
        <w:rPr>
          <w:rFonts w:ascii="Arial" w:hAnsi="Arial" w:cs="Arial"/>
        </w:rPr>
        <w:t>, formación profesional inicial</w:t>
      </w:r>
      <w:r w:rsidRPr="00FB3C8A">
        <w:rPr>
          <w:rFonts w:ascii="Arial" w:hAnsi="Arial" w:cs="Arial"/>
        </w:rPr>
        <w:t>). En Chile, esta omisión es relevante, dado que la diferenciación institucional constituye también un mecanismo de estratificación social, al distribuir de manera desigual recursos, legitimidad y horizontes de futuro (Brunner, 2013).</w:t>
      </w:r>
    </w:p>
    <w:p w14:paraId="281A55C7" w14:textId="094D2912" w:rsidR="00B068CE" w:rsidRDefault="00FF741C" w:rsidP="00BE2AE7">
      <w:pPr>
        <w:spacing w:after="0" w:line="240" w:lineRule="auto"/>
        <w:jc w:val="both"/>
        <w:rPr>
          <w:rFonts w:ascii="Arial" w:hAnsi="Arial" w:cs="Arial"/>
        </w:rPr>
      </w:pPr>
      <w:r w:rsidRPr="00FB3C8A">
        <w:rPr>
          <w:rFonts w:ascii="Arial" w:hAnsi="Arial" w:cs="Arial"/>
        </w:rPr>
        <w:t xml:space="preserve">En este marco, esta comunicación </w:t>
      </w:r>
      <w:r w:rsidR="000E7429">
        <w:rPr>
          <w:rFonts w:ascii="Arial" w:hAnsi="Arial" w:cs="Arial"/>
        </w:rPr>
        <w:t>desplaza</w:t>
      </w:r>
      <w:r w:rsidRPr="00FB3C8A">
        <w:rPr>
          <w:rFonts w:ascii="Arial" w:hAnsi="Arial" w:cs="Arial"/>
        </w:rPr>
        <w:t xml:space="preserve"> la mirada desde el feminismo estudiantil como ciclo de movilización hacia el feminismo como experiencia biográfica situada. El objetivo es analizar cómo estudiantes feministas de educación superior en Chile enfrentan el orden de género en sus trayectorias, atendiendo a ámbitos en que este se expresa como prueba estructural y a los recursos de agencia que movilizan desde posiciones sociales desiguales. </w:t>
      </w:r>
    </w:p>
    <w:p w14:paraId="7928F74F" w14:textId="77777777" w:rsidR="004A5B9C" w:rsidRPr="00FF741C" w:rsidRDefault="004A5B9C" w:rsidP="00BE2AE7">
      <w:pPr>
        <w:spacing w:after="0" w:line="240" w:lineRule="auto"/>
        <w:jc w:val="both"/>
        <w:rPr>
          <w:rFonts w:ascii="Arial" w:hAnsi="Arial" w:cs="Arial"/>
        </w:rPr>
      </w:pPr>
    </w:p>
    <w:p w14:paraId="15597C0D" w14:textId="77777777" w:rsidR="00B068CE" w:rsidRDefault="00B068CE" w:rsidP="00BE2AE7">
      <w:pPr>
        <w:spacing w:after="0" w:line="240" w:lineRule="auto"/>
        <w:rPr>
          <w:rFonts w:ascii="Arial" w:hAnsi="Arial" w:cs="Arial"/>
          <w:b/>
          <w:bCs/>
        </w:rPr>
      </w:pPr>
      <w:r w:rsidRPr="00491A43">
        <w:rPr>
          <w:rFonts w:ascii="Arial" w:hAnsi="Arial" w:cs="Arial"/>
          <w:b/>
          <w:bCs/>
        </w:rPr>
        <w:t>2) Planteamiento teórico-metodológico </w:t>
      </w:r>
    </w:p>
    <w:p w14:paraId="028D2A79" w14:textId="1869A0D6" w:rsidR="009A11CA" w:rsidRPr="00FB3C8A" w:rsidRDefault="009A11CA" w:rsidP="00BE2AE7">
      <w:pPr>
        <w:spacing w:after="0" w:line="240" w:lineRule="auto"/>
        <w:jc w:val="both"/>
        <w:rPr>
          <w:rFonts w:ascii="Arial" w:hAnsi="Arial" w:cs="Arial"/>
        </w:rPr>
      </w:pPr>
      <w:r w:rsidRPr="00FB3C8A">
        <w:rPr>
          <w:rFonts w:ascii="Arial" w:hAnsi="Arial" w:cs="Arial"/>
        </w:rPr>
        <w:t>La propuesta articula cuatro ejes conceptuales. En primer lugar, el orden de género se entiende como un sistema de organización social que distribuye jerárquicamente poder, recursos y reconocimiento, estructurando instituciones y experiencias cotidianas (Connell, 1987; Buquet, 2016). Más que tratarlo como una estructura abstracta, se lo aborda desde la experiencia y su actualización en ámbitos concretos de la vida social.</w:t>
      </w:r>
    </w:p>
    <w:p w14:paraId="7CA3054C" w14:textId="77777777" w:rsidR="009A11CA" w:rsidRPr="00FB3C8A" w:rsidRDefault="009A11CA" w:rsidP="00BE2AE7">
      <w:pPr>
        <w:spacing w:after="0" w:line="240" w:lineRule="auto"/>
        <w:jc w:val="both"/>
        <w:rPr>
          <w:rFonts w:ascii="Arial" w:hAnsi="Arial" w:cs="Arial"/>
        </w:rPr>
      </w:pPr>
      <w:r w:rsidRPr="00FB3C8A">
        <w:rPr>
          <w:rFonts w:ascii="Arial" w:hAnsi="Arial" w:cs="Arial"/>
        </w:rPr>
        <w:t xml:space="preserve">En segundo lugar, se retoma la noción de prueba estructural, desarrollada en las sociologías de la individuación, para examinar cómo procesos institucionales y socioculturales se traducen </w:t>
      </w:r>
      <w:r w:rsidRPr="00FB3C8A">
        <w:rPr>
          <w:rFonts w:ascii="Arial" w:hAnsi="Arial" w:cs="Arial"/>
        </w:rPr>
        <w:lastRenderedPageBreak/>
        <w:t>en tensiones biográficas que las personas deben enfrentar en condiciones desiguales (</w:t>
      </w:r>
      <w:proofErr w:type="spellStart"/>
      <w:r w:rsidRPr="00FB3C8A">
        <w:rPr>
          <w:rFonts w:ascii="Arial" w:hAnsi="Arial" w:cs="Arial"/>
        </w:rPr>
        <w:t>Martuccelli</w:t>
      </w:r>
      <w:proofErr w:type="spellEnd"/>
      <w:r w:rsidRPr="00FB3C8A">
        <w:rPr>
          <w:rFonts w:ascii="Arial" w:hAnsi="Arial" w:cs="Arial"/>
        </w:rPr>
        <w:t xml:space="preserve"> y de </w:t>
      </w:r>
      <w:proofErr w:type="spellStart"/>
      <w:r w:rsidRPr="00FB3C8A">
        <w:rPr>
          <w:rFonts w:ascii="Arial" w:hAnsi="Arial" w:cs="Arial"/>
        </w:rPr>
        <w:t>Singly</w:t>
      </w:r>
      <w:proofErr w:type="spellEnd"/>
      <w:r w:rsidRPr="00FB3C8A">
        <w:rPr>
          <w:rFonts w:ascii="Arial" w:hAnsi="Arial" w:cs="Arial"/>
        </w:rPr>
        <w:t>, 2012). Esta perspectiva permite observar cómo el género se vuelve exigencia práctica en distintos ámbitos de la trayectoria.</w:t>
      </w:r>
    </w:p>
    <w:p w14:paraId="150F2E4C" w14:textId="16FAC055" w:rsidR="009A11CA" w:rsidRPr="00FB3C8A" w:rsidRDefault="009A11CA" w:rsidP="00BE2AE7">
      <w:pPr>
        <w:spacing w:after="0" w:line="240" w:lineRule="auto"/>
        <w:jc w:val="both"/>
        <w:rPr>
          <w:rFonts w:ascii="Arial" w:hAnsi="Arial" w:cs="Arial"/>
        </w:rPr>
      </w:pPr>
      <w:r w:rsidRPr="00FB3C8A">
        <w:rPr>
          <w:rFonts w:ascii="Arial" w:hAnsi="Arial" w:cs="Arial"/>
        </w:rPr>
        <w:t xml:space="preserve">En tercer lugar, la investigación adopta una concepción temporal y situada de la agencia. Siguiendo a Sewell (1992) y </w:t>
      </w:r>
      <w:proofErr w:type="spellStart"/>
      <w:r w:rsidRPr="00FB3C8A">
        <w:rPr>
          <w:rFonts w:ascii="Arial" w:hAnsi="Arial" w:cs="Arial"/>
        </w:rPr>
        <w:t>Emirbayer</w:t>
      </w:r>
      <w:proofErr w:type="spellEnd"/>
      <w:r w:rsidRPr="00FB3C8A">
        <w:rPr>
          <w:rFonts w:ascii="Arial" w:hAnsi="Arial" w:cs="Arial"/>
        </w:rPr>
        <w:t xml:space="preserve"> y Mische (1998), la agencia no se entiende como atributo individual estable ni como simple oposición a la estructura, sino como capacidad socialmente distribuida para intervenir en cursos de acción, evaluar alternativas y proyectar horizontes posibles. Esta mirada dialoga con McNay (2003, 2004), quien advierte que la agencia feminista no puede reducirse a una imagen estrecha de resistencia frontal. Desde esta perspectiva, el feminismo aparece no solo como identidad política o repertorio de acción colectiva, sino también como </w:t>
      </w:r>
      <w:r w:rsidR="003B3AC5">
        <w:rPr>
          <w:rFonts w:ascii="Arial" w:hAnsi="Arial" w:cs="Arial"/>
        </w:rPr>
        <w:t xml:space="preserve">interpretación </w:t>
      </w:r>
      <w:r w:rsidRPr="00FB3C8A">
        <w:rPr>
          <w:rFonts w:ascii="Arial" w:hAnsi="Arial" w:cs="Arial"/>
        </w:rPr>
        <w:t>que permite releer experiencias de desigualdad y violencia, sostener decisiones presentes y proyectar futuros alternativos.</w:t>
      </w:r>
    </w:p>
    <w:p w14:paraId="026FE391" w14:textId="77777777" w:rsidR="009A11CA" w:rsidRPr="00FB3C8A" w:rsidRDefault="009A11CA" w:rsidP="00BE2AE7">
      <w:pPr>
        <w:spacing w:after="0" w:line="240" w:lineRule="auto"/>
        <w:jc w:val="both"/>
        <w:rPr>
          <w:rFonts w:ascii="Arial" w:hAnsi="Arial" w:cs="Arial"/>
        </w:rPr>
      </w:pPr>
      <w:r w:rsidRPr="00FB3C8A">
        <w:rPr>
          <w:rFonts w:ascii="Arial" w:hAnsi="Arial" w:cs="Arial"/>
        </w:rPr>
        <w:t xml:space="preserve">En cuarto lugar, </w:t>
      </w:r>
      <w:r w:rsidRPr="00D12ACA">
        <w:rPr>
          <w:rFonts w:ascii="Arial" w:hAnsi="Arial" w:cs="Arial"/>
        </w:rPr>
        <w:t xml:space="preserve">se </w:t>
      </w:r>
      <w:r w:rsidRPr="00FB3C8A">
        <w:rPr>
          <w:rFonts w:ascii="Arial" w:hAnsi="Arial" w:cs="Arial"/>
        </w:rPr>
        <w:t>incorpora una perspectiva de interseccionalidad para comprender cómo la prueba del orden de género se modula según clase, sexualidad, arreglos de cuidado y tipo de institución (Crenshaw, 1991; Hill Collins, 2000; Curiel, 2017; Lugones, 2008).</w:t>
      </w:r>
    </w:p>
    <w:p w14:paraId="7BF509FD" w14:textId="6B4A4B30" w:rsidR="009A11CA" w:rsidRPr="009A11CA" w:rsidRDefault="009A11CA" w:rsidP="00BE2AE7">
      <w:pPr>
        <w:spacing w:after="0" w:line="240" w:lineRule="auto"/>
        <w:jc w:val="both"/>
        <w:rPr>
          <w:rFonts w:ascii="Arial" w:hAnsi="Arial" w:cs="Arial"/>
        </w:rPr>
      </w:pPr>
      <w:r w:rsidRPr="00FB3C8A">
        <w:rPr>
          <w:rFonts w:ascii="Arial" w:hAnsi="Arial" w:cs="Arial"/>
        </w:rPr>
        <w:t xml:space="preserve">Metodológicamente, la comunicación se basa en 24 entrevistas en profundidad realizadas </w:t>
      </w:r>
      <w:r w:rsidRPr="00D12ACA">
        <w:rPr>
          <w:rFonts w:ascii="Arial" w:hAnsi="Arial" w:cs="Arial"/>
        </w:rPr>
        <w:t>en</w:t>
      </w:r>
      <w:r w:rsidRPr="00FB3C8A">
        <w:rPr>
          <w:rFonts w:ascii="Arial" w:hAnsi="Arial" w:cs="Arial"/>
        </w:rPr>
        <w:t xml:space="preserve"> 2022 a estudiantes y egresadas recientes de </w:t>
      </w:r>
      <w:r w:rsidRPr="00D12ACA">
        <w:rPr>
          <w:rFonts w:ascii="Arial" w:hAnsi="Arial" w:cs="Arial"/>
        </w:rPr>
        <w:t>educación superior</w:t>
      </w:r>
      <w:r w:rsidRPr="00FB3C8A">
        <w:rPr>
          <w:rFonts w:ascii="Arial" w:hAnsi="Arial" w:cs="Arial"/>
        </w:rPr>
        <w:t xml:space="preserve"> de la Región Metropolitana de Chile. El muestreo combinó conveniencia y máxima variabilidad, buscando diversidad de trayectorias de activismo, áreas de formación y tipos de institución. Las entrevistas abordaron trayectoria vital, experiencia </w:t>
      </w:r>
      <w:r w:rsidR="003B3AC5">
        <w:rPr>
          <w:rFonts w:ascii="Arial" w:hAnsi="Arial" w:cs="Arial"/>
        </w:rPr>
        <w:t>educativa</w:t>
      </w:r>
      <w:r w:rsidRPr="00FB3C8A">
        <w:rPr>
          <w:rFonts w:ascii="Arial" w:hAnsi="Arial" w:cs="Arial"/>
        </w:rPr>
        <w:t>, vínculos con el feminismo, participación en las movilizaciones de 2018 y proyecciones personales. El análisis se realizó mediante un procedimiento inductivo-deductivo, articulando categorías previas —prueba estructural, agencia, feminismo como recurso— con emergentes empíricos del material.</w:t>
      </w:r>
    </w:p>
    <w:p w14:paraId="24F8C083" w14:textId="77777777" w:rsidR="00B068CE" w:rsidRPr="00491A43" w:rsidRDefault="00B068CE" w:rsidP="00BE2AE7">
      <w:pPr>
        <w:spacing w:after="0" w:line="240" w:lineRule="auto"/>
        <w:rPr>
          <w:rFonts w:ascii="Arial" w:hAnsi="Arial" w:cs="Arial"/>
          <w:b/>
          <w:bCs/>
        </w:rPr>
      </w:pPr>
    </w:p>
    <w:p w14:paraId="75FE277F" w14:textId="77777777" w:rsidR="00B068CE" w:rsidRPr="00491A43" w:rsidRDefault="00B068CE" w:rsidP="00BE2AE7">
      <w:pPr>
        <w:spacing w:after="0" w:line="240" w:lineRule="auto"/>
        <w:rPr>
          <w:rFonts w:ascii="Arial" w:hAnsi="Arial" w:cs="Arial"/>
          <w:b/>
          <w:bCs/>
        </w:rPr>
      </w:pPr>
      <w:r w:rsidRPr="00491A43">
        <w:rPr>
          <w:rFonts w:ascii="Arial" w:hAnsi="Arial" w:cs="Arial"/>
          <w:b/>
          <w:bCs/>
        </w:rPr>
        <w:t>3) Resultados: principales aportaciones, resultados y conclusiones</w:t>
      </w:r>
    </w:p>
    <w:p w14:paraId="5916CDA9" w14:textId="77777777" w:rsidR="00804CBB" w:rsidRPr="00804CBB" w:rsidRDefault="00804CBB" w:rsidP="00BE2AE7">
      <w:pPr>
        <w:spacing w:after="0" w:line="240" w:lineRule="auto"/>
        <w:jc w:val="both"/>
        <w:rPr>
          <w:rFonts w:ascii="Arial" w:hAnsi="Arial" w:cs="Arial"/>
        </w:rPr>
      </w:pPr>
      <w:r w:rsidRPr="00804CBB">
        <w:rPr>
          <w:rFonts w:ascii="Arial" w:hAnsi="Arial" w:cs="Arial"/>
        </w:rPr>
        <w:t>Los resultados muestran, en primer lugar, que el orden de género no se restringe al espacio educativo, sino que atraviesa múltiples dimensiones de las trayectorias. En los relatos analizados, la prueba estructural del género se enfrenta especialmente en la familia, la religiosidad, la experiencia institucional y el cuerpo. Allí las estudiantes enfrentan mandatos de género, desigualdades de reconocimiento, controles sobre la sexualidad, tensiones en torno a la legitimidad de sus posicionamientos feministas y distintas formas de violencia. En este sentido, el orden de género aparece como exigencia práctica y cotidiana que organiza responsabilidades, juicios y expectativas, en línea con Connell (1987), Bourdieu (2000) y Buquet (2016).</w:t>
      </w:r>
    </w:p>
    <w:p w14:paraId="5ADCBF42" w14:textId="77777777" w:rsidR="00804CBB" w:rsidRPr="00804CBB" w:rsidRDefault="00804CBB" w:rsidP="00BE2AE7">
      <w:pPr>
        <w:spacing w:after="0" w:line="240" w:lineRule="auto"/>
        <w:jc w:val="both"/>
        <w:rPr>
          <w:rFonts w:ascii="Arial" w:hAnsi="Arial" w:cs="Arial"/>
        </w:rPr>
      </w:pPr>
      <w:r w:rsidRPr="00804CBB">
        <w:rPr>
          <w:rFonts w:ascii="Arial" w:hAnsi="Arial" w:cs="Arial"/>
        </w:rPr>
        <w:t xml:space="preserve">En segundo lugar, los hallazgos muestran que el feminismo funciona como un recurso biográfico y colectivo. Más allá de comprenderlo solo como militancia o identidad política, el estudio permite conceptualizarlo como una mediación interpretativa que reorganiza la experiencia: facilita la reinterpretación de episodios pasados, la resignificación de situaciones antes consideradas individuales como estructurales, el respaldo de decisiones actuales y la proyección de futuros posibles. En ese sentido, el feminismo no solo moviliza, sino que reordena temporalmente la trayectoria. Esta lectura dialoga con </w:t>
      </w:r>
      <w:proofErr w:type="spellStart"/>
      <w:r w:rsidRPr="00804CBB">
        <w:rPr>
          <w:rFonts w:ascii="Arial" w:hAnsi="Arial" w:cs="Arial"/>
        </w:rPr>
        <w:t>Emirbayer</w:t>
      </w:r>
      <w:proofErr w:type="spellEnd"/>
      <w:r w:rsidRPr="00804CBB">
        <w:rPr>
          <w:rFonts w:ascii="Arial" w:hAnsi="Arial" w:cs="Arial"/>
        </w:rPr>
        <w:t xml:space="preserve"> y Mische (1998), al mostrar que el feminismo interviene en la reinterpretación del pasado, en la evaluación práctica del presente y en la imaginación de futuros.</w:t>
      </w:r>
    </w:p>
    <w:p w14:paraId="61A23246" w14:textId="77777777" w:rsidR="00804CBB" w:rsidRPr="00804CBB" w:rsidRDefault="00804CBB" w:rsidP="00BE2AE7">
      <w:pPr>
        <w:spacing w:after="0" w:line="240" w:lineRule="auto"/>
        <w:jc w:val="both"/>
        <w:rPr>
          <w:rFonts w:ascii="Arial" w:hAnsi="Arial" w:cs="Arial"/>
        </w:rPr>
      </w:pPr>
      <w:r w:rsidRPr="00804CBB">
        <w:rPr>
          <w:rFonts w:ascii="Arial" w:hAnsi="Arial" w:cs="Arial"/>
        </w:rPr>
        <w:t xml:space="preserve">En tercer lugar, la investigación muestra que esa capacidad de agencia no se distribuye homogéneamente. Las diferencias de clase, sexualidad, arreglos de cuidado y posición institucional afectan la intensidad de la prueba del orden de género, los costos de la acción y los recursos disponibles para enfrentarla. En universidades más </w:t>
      </w:r>
      <w:proofErr w:type="spellStart"/>
      <w:r w:rsidRPr="00804CBB">
        <w:rPr>
          <w:rFonts w:ascii="Arial" w:hAnsi="Arial" w:cs="Arial"/>
        </w:rPr>
        <w:t>elitizadas</w:t>
      </w:r>
      <w:proofErr w:type="spellEnd"/>
      <w:r w:rsidRPr="00804CBB">
        <w:rPr>
          <w:rFonts w:ascii="Arial" w:hAnsi="Arial" w:cs="Arial"/>
        </w:rPr>
        <w:t>, las tensiones aparecen vinculadas con legitimidad, pertenencia y reconocimiento; en IP, CFT y universidades menos prestigiosas adquieren mayor peso las condiciones materiales de permanencia, la compatibilización entre estudio, trabajo y cuidado, y la precariedad de los soportes disponibles. Esta lectura permite evitar una imagen homogénea de “las estudiantes feministas” y mostrar que los márgenes de acción están estructuralmente condicionados y diferencialmente distribuidos (Crenshaw,1991; Hill Collins, 2000 y Curiel (2017),</w:t>
      </w:r>
    </w:p>
    <w:p w14:paraId="266F8577" w14:textId="77777777" w:rsidR="00804CBB" w:rsidRPr="00804CBB" w:rsidRDefault="00804CBB" w:rsidP="00BE2AE7">
      <w:pPr>
        <w:spacing w:after="0" w:line="240" w:lineRule="auto"/>
        <w:jc w:val="both"/>
        <w:rPr>
          <w:rFonts w:ascii="Arial" w:hAnsi="Arial" w:cs="Arial"/>
        </w:rPr>
      </w:pPr>
      <w:r w:rsidRPr="00804CBB">
        <w:rPr>
          <w:rFonts w:ascii="Arial" w:hAnsi="Arial" w:cs="Arial"/>
        </w:rPr>
        <w:lastRenderedPageBreak/>
        <w:t>La comunicación propone tres aportaciones. La primera es analítica: mostrar que el feminismo estudiantil puede comprenderse no solo como acción colectiva, sino también como experiencia biográfica situada. La segunda es teórica: la articulación entre orden de género, prueba estructural, agencia temporal e interseccionalidad permite captar simultáneamente condicionamientos estructurales y capacidades de acción. La tercera es empírica: incorporar trayectorias de estudiantes de distintos tipos de instituciones amplía la comprensión del feminismo estudiantil en Chile y muestra que no existe una única trayectoria feminista, sino configuraciones desiguales de politización, reconocimiento y agencia.</w:t>
      </w:r>
    </w:p>
    <w:p w14:paraId="1F5FFE80" w14:textId="77777777" w:rsidR="00804CBB" w:rsidRPr="00804CBB" w:rsidRDefault="00804CBB" w:rsidP="00BE2AE7">
      <w:pPr>
        <w:spacing w:after="0" w:line="240" w:lineRule="auto"/>
        <w:jc w:val="both"/>
        <w:rPr>
          <w:rFonts w:ascii="Arial" w:hAnsi="Arial" w:cs="Arial"/>
        </w:rPr>
      </w:pPr>
      <w:r w:rsidRPr="00804CBB">
        <w:rPr>
          <w:rFonts w:ascii="Arial" w:hAnsi="Arial" w:cs="Arial"/>
        </w:rPr>
        <w:t>Como conclusión, se sostiene que desplazar la mirada del “Mayo feminista” como acontecimiento hacia las trayectorias que lo atraviesan y prolongan permite enriquecer la comprensión sociológica del feminismo en la educación superior. El feminismo aparece aquí como una práctica de reinterpretación y reorientación de la vida que se apoya en recursos colectivos, pero que se despliega bajo condiciones sociales e institucionales desiguales. Desde esta perspectiva, la justicia de género en la educación superior no puede reducirse a protocolos institucionales, sino que requiere atender también a las culturas de reconocimiento y a la desigual distribución de recursos, tiempos y apoyos para actuar.</w:t>
      </w:r>
    </w:p>
    <w:p w14:paraId="411EBBC6" w14:textId="77777777" w:rsidR="00B068CE" w:rsidRPr="00D34284" w:rsidRDefault="00B068CE" w:rsidP="00B068CE">
      <w:pPr>
        <w:rPr>
          <w:rFonts w:ascii="Arial" w:hAnsi="Arial" w:cs="Arial"/>
        </w:rPr>
      </w:pPr>
      <w:r w:rsidRPr="00D34284">
        <w:rPr>
          <w:rFonts w:ascii="Arial" w:hAnsi="Arial" w:cs="Arial"/>
          <w:b/>
          <w:bCs/>
          <w:lang w:val="es-ES_tradnl"/>
        </w:rPr>
        <w:br/>
        <w:t>Referencias bibliográficas</w:t>
      </w:r>
    </w:p>
    <w:p w14:paraId="705E4735" w14:textId="22542A61" w:rsidR="00C24AF1" w:rsidRPr="00C24AF1" w:rsidRDefault="00C24AF1" w:rsidP="00734CF2">
      <w:pPr>
        <w:spacing w:after="0" w:line="240" w:lineRule="auto"/>
        <w:jc w:val="both"/>
        <w:rPr>
          <w:rFonts w:ascii="Arial" w:hAnsi="Arial" w:cs="Arial"/>
        </w:rPr>
      </w:pPr>
      <w:r w:rsidRPr="00C24AF1">
        <w:rPr>
          <w:rFonts w:ascii="Arial" w:hAnsi="Arial" w:cs="Arial"/>
        </w:rPr>
        <w:t xml:space="preserve">Brunner, J. J. (2013). Sobre la clasificación de universidades. En M. V. Santelices, J. J. Ugarte y J. Salmi, Clasificación de instituciones de educación superior (pp. 109–134). </w:t>
      </w:r>
      <w:r w:rsidR="00BC706A" w:rsidRPr="00782CF2">
        <w:rPr>
          <w:rFonts w:ascii="Arial" w:hAnsi="Arial" w:cs="Arial"/>
        </w:rPr>
        <w:t xml:space="preserve">Santiago de Chile. </w:t>
      </w:r>
      <w:r w:rsidRPr="00C24AF1">
        <w:rPr>
          <w:rFonts w:ascii="Arial" w:hAnsi="Arial" w:cs="Arial"/>
        </w:rPr>
        <w:t>Ministerio de Educación.</w:t>
      </w:r>
    </w:p>
    <w:p w14:paraId="6BDE9D49" w14:textId="77777777" w:rsidR="00C24AF1" w:rsidRPr="00C24AF1" w:rsidRDefault="00C24AF1" w:rsidP="00734CF2">
      <w:pPr>
        <w:spacing w:after="0" w:line="240" w:lineRule="auto"/>
        <w:jc w:val="both"/>
        <w:rPr>
          <w:rFonts w:ascii="Arial" w:hAnsi="Arial" w:cs="Arial"/>
        </w:rPr>
      </w:pPr>
      <w:r w:rsidRPr="00C24AF1">
        <w:rPr>
          <w:rFonts w:ascii="Arial" w:hAnsi="Arial" w:cs="Arial"/>
        </w:rPr>
        <w:t>Buquet, A. G. (2016). El orden de género en la educación superior: una aproximación interdisciplinaria. Nómadas, (44), 27–43.</w:t>
      </w:r>
    </w:p>
    <w:p w14:paraId="5644DC0D" w14:textId="0C392942" w:rsidR="00C24AF1" w:rsidRPr="00C24AF1" w:rsidRDefault="00C24AF1" w:rsidP="00734CF2">
      <w:pPr>
        <w:spacing w:after="0" w:line="240" w:lineRule="auto"/>
        <w:jc w:val="both"/>
        <w:rPr>
          <w:rFonts w:ascii="Arial" w:hAnsi="Arial" w:cs="Arial"/>
        </w:rPr>
      </w:pPr>
      <w:r w:rsidRPr="00C24AF1">
        <w:rPr>
          <w:rFonts w:ascii="Arial" w:hAnsi="Arial" w:cs="Arial"/>
        </w:rPr>
        <w:t xml:space="preserve">Connell, R. (1987). Gender and Power: </w:t>
      </w:r>
      <w:proofErr w:type="spellStart"/>
      <w:r w:rsidRPr="00C24AF1">
        <w:rPr>
          <w:rFonts w:ascii="Arial" w:hAnsi="Arial" w:cs="Arial"/>
        </w:rPr>
        <w:t>Society</w:t>
      </w:r>
      <w:proofErr w:type="spellEnd"/>
      <w:r w:rsidRPr="00C24AF1">
        <w:rPr>
          <w:rFonts w:ascii="Arial" w:hAnsi="Arial" w:cs="Arial"/>
        </w:rPr>
        <w:t xml:space="preserve">, </w:t>
      </w:r>
      <w:proofErr w:type="spellStart"/>
      <w:r w:rsidRPr="00C24AF1">
        <w:rPr>
          <w:rFonts w:ascii="Arial" w:hAnsi="Arial" w:cs="Arial"/>
        </w:rPr>
        <w:t>the</w:t>
      </w:r>
      <w:proofErr w:type="spellEnd"/>
      <w:r w:rsidRPr="00C24AF1">
        <w:rPr>
          <w:rFonts w:ascii="Arial" w:hAnsi="Arial" w:cs="Arial"/>
        </w:rPr>
        <w:t xml:space="preserve"> Person and Sexual </w:t>
      </w:r>
      <w:proofErr w:type="spellStart"/>
      <w:r w:rsidRPr="00C24AF1">
        <w:rPr>
          <w:rFonts w:ascii="Arial" w:hAnsi="Arial" w:cs="Arial"/>
        </w:rPr>
        <w:t>Politics</w:t>
      </w:r>
      <w:proofErr w:type="spellEnd"/>
      <w:r w:rsidRPr="00C24AF1">
        <w:rPr>
          <w:rFonts w:ascii="Arial" w:hAnsi="Arial" w:cs="Arial"/>
        </w:rPr>
        <w:t xml:space="preserve">. </w:t>
      </w:r>
      <w:r w:rsidR="00894EBE">
        <w:rPr>
          <w:rFonts w:ascii="Arial" w:hAnsi="Arial" w:cs="Arial"/>
        </w:rPr>
        <w:t xml:space="preserve">Standford: </w:t>
      </w:r>
      <w:r w:rsidRPr="00C24AF1">
        <w:rPr>
          <w:rFonts w:ascii="Arial" w:hAnsi="Arial" w:cs="Arial"/>
        </w:rPr>
        <w:t xml:space="preserve">Stanford </w:t>
      </w:r>
      <w:proofErr w:type="spellStart"/>
      <w:r w:rsidRPr="00C24AF1">
        <w:rPr>
          <w:rFonts w:ascii="Arial" w:hAnsi="Arial" w:cs="Arial"/>
        </w:rPr>
        <w:t>University</w:t>
      </w:r>
      <w:proofErr w:type="spellEnd"/>
      <w:r w:rsidRPr="00C24AF1">
        <w:rPr>
          <w:rFonts w:ascii="Arial" w:hAnsi="Arial" w:cs="Arial"/>
        </w:rPr>
        <w:t xml:space="preserve"> Press.</w:t>
      </w:r>
    </w:p>
    <w:p w14:paraId="2ABAB32B" w14:textId="77777777" w:rsidR="00C24AF1" w:rsidRPr="00C24AF1" w:rsidRDefault="00C24AF1" w:rsidP="00734CF2">
      <w:pPr>
        <w:spacing w:after="0" w:line="240" w:lineRule="auto"/>
        <w:jc w:val="both"/>
        <w:rPr>
          <w:rFonts w:ascii="Arial" w:hAnsi="Arial" w:cs="Arial"/>
        </w:rPr>
      </w:pPr>
      <w:r w:rsidRPr="00C24AF1">
        <w:rPr>
          <w:rFonts w:ascii="Arial" w:hAnsi="Arial" w:cs="Arial"/>
        </w:rPr>
        <w:t xml:space="preserve">Crenshaw, K. (1991). </w:t>
      </w:r>
      <w:proofErr w:type="spellStart"/>
      <w:r w:rsidRPr="00C24AF1">
        <w:rPr>
          <w:rFonts w:ascii="Arial" w:hAnsi="Arial" w:cs="Arial"/>
        </w:rPr>
        <w:t>Mapping</w:t>
      </w:r>
      <w:proofErr w:type="spellEnd"/>
      <w:r w:rsidRPr="00C24AF1">
        <w:rPr>
          <w:rFonts w:ascii="Arial" w:hAnsi="Arial" w:cs="Arial"/>
        </w:rPr>
        <w:t xml:space="preserve"> </w:t>
      </w:r>
      <w:proofErr w:type="spellStart"/>
      <w:r w:rsidRPr="00C24AF1">
        <w:rPr>
          <w:rFonts w:ascii="Arial" w:hAnsi="Arial" w:cs="Arial"/>
        </w:rPr>
        <w:t>the</w:t>
      </w:r>
      <w:proofErr w:type="spellEnd"/>
      <w:r w:rsidRPr="00C24AF1">
        <w:rPr>
          <w:rFonts w:ascii="Arial" w:hAnsi="Arial" w:cs="Arial"/>
        </w:rPr>
        <w:t xml:space="preserve"> </w:t>
      </w:r>
      <w:proofErr w:type="spellStart"/>
      <w:r w:rsidRPr="00C24AF1">
        <w:rPr>
          <w:rFonts w:ascii="Arial" w:hAnsi="Arial" w:cs="Arial"/>
        </w:rPr>
        <w:t>margins</w:t>
      </w:r>
      <w:proofErr w:type="spellEnd"/>
      <w:r w:rsidRPr="00C24AF1">
        <w:rPr>
          <w:rFonts w:ascii="Arial" w:hAnsi="Arial" w:cs="Arial"/>
        </w:rPr>
        <w:t xml:space="preserve">: </w:t>
      </w:r>
      <w:proofErr w:type="spellStart"/>
      <w:r w:rsidRPr="00C24AF1">
        <w:rPr>
          <w:rFonts w:ascii="Arial" w:hAnsi="Arial" w:cs="Arial"/>
        </w:rPr>
        <w:t>Intersectionality</w:t>
      </w:r>
      <w:proofErr w:type="spellEnd"/>
      <w:r w:rsidRPr="00C24AF1">
        <w:rPr>
          <w:rFonts w:ascii="Arial" w:hAnsi="Arial" w:cs="Arial"/>
        </w:rPr>
        <w:t xml:space="preserve">, </w:t>
      </w:r>
      <w:proofErr w:type="spellStart"/>
      <w:r w:rsidRPr="00C24AF1">
        <w:rPr>
          <w:rFonts w:ascii="Arial" w:hAnsi="Arial" w:cs="Arial"/>
        </w:rPr>
        <w:t>identity</w:t>
      </w:r>
      <w:proofErr w:type="spellEnd"/>
      <w:r w:rsidRPr="00C24AF1">
        <w:rPr>
          <w:rFonts w:ascii="Arial" w:hAnsi="Arial" w:cs="Arial"/>
        </w:rPr>
        <w:t xml:space="preserve"> </w:t>
      </w:r>
      <w:proofErr w:type="spellStart"/>
      <w:r w:rsidRPr="00C24AF1">
        <w:rPr>
          <w:rFonts w:ascii="Arial" w:hAnsi="Arial" w:cs="Arial"/>
        </w:rPr>
        <w:t>politics</w:t>
      </w:r>
      <w:proofErr w:type="spellEnd"/>
      <w:r w:rsidRPr="00C24AF1">
        <w:rPr>
          <w:rFonts w:ascii="Arial" w:hAnsi="Arial" w:cs="Arial"/>
        </w:rPr>
        <w:t xml:space="preserve">, and </w:t>
      </w:r>
      <w:proofErr w:type="spellStart"/>
      <w:r w:rsidRPr="00C24AF1">
        <w:rPr>
          <w:rFonts w:ascii="Arial" w:hAnsi="Arial" w:cs="Arial"/>
        </w:rPr>
        <w:t>violence</w:t>
      </w:r>
      <w:proofErr w:type="spellEnd"/>
      <w:r w:rsidRPr="00C24AF1">
        <w:rPr>
          <w:rFonts w:ascii="Arial" w:hAnsi="Arial" w:cs="Arial"/>
        </w:rPr>
        <w:t xml:space="preserve"> </w:t>
      </w:r>
      <w:proofErr w:type="spellStart"/>
      <w:r w:rsidRPr="00C24AF1">
        <w:rPr>
          <w:rFonts w:ascii="Arial" w:hAnsi="Arial" w:cs="Arial"/>
        </w:rPr>
        <w:t>against</w:t>
      </w:r>
      <w:proofErr w:type="spellEnd"/>
      <w:r w:rsidRPr="00C24AF1">
        <w:rPr>
          <w:rFonts w:ascii="Arial" w:hAnsi="Arial" w:cs="Arial"/>
        </w:rPr>
        <w:t xml:space="preserve"> </w:t>
      </w:r>
      <w:proofErr w:type="spellStart"/>
      <w:r w:rsidRPr="00C24AF1">
        <w:rPr>
          <w:rFonts w:ascii="Arial" w:hAnsi="Arial" w:cs="Arial"/>
        </w:rPr>
        <w:t>women</w:t>
      </w:r>
      <w:proofErr w:type="spellEnd"/>
      <w:r w:rsidRPr="00C24AF1">
        <w:rPr>
          <w:rFonts w:ascii="Arial" w:hAnsi="Arial" w:cs="Arial"/>
        </w:rPr>
        <w:t xml:space="preserve"> </w:t>
      </w:r>
      <w:proofErr w:type="spellStart"/>
      <w:r w:rsidRPr="00C24AF1">
        <w:rPr>
          <w:rFonts w:ascii="Arial" w:hAnsi="Arial" w:cs="Arial"/>
        </w:rPr>
        <w:t>of</w:t>
      </w:r>
      <w:proofErr w:type="spellEnd"/>
      <w:r w:rsidRPr="00C24AF1">
        <w:rPr>
          <w:rFonts w:ascii="Arial" w:hAnsi="Arial" w:cs="Arial"/>
        </w:rPr>
        <w:t xml:space="preserve"> color. Stanford Law </w:t>
      </w:r>
      <w:proofErr w:type="spellStart"/>
      <w:r w:rsidRPr="00C24AF1">
        <w:rPr>
          <w:rFonts w:ascii="Arial" w:hAnsi="Arial" w:cs="Arial"/>
        </w:rPr>
        <w:t>Review</w:t>
      </w:r>
      <w:proofErr w:type="spellEnd"/>
      <w:r w:rsidRPr="00C24AF1">
        <w:rPr>
          <w:rFonts w:ascii="Arial" w:hAnsi="Arial" w:cs="Arial"/>
        </w:rPr>
        <w:t>, 43(6), 1241–1299.</w:t>
      </w:r>
    </w:p>
    <w:p w14:paraId="5778474B" w14:textId="77777777" w:rsidR="00C24AF1" w:rsidRPr="00C24AF1" w:rsidRDefault="00C24AF1" w:rsidP="00734CF2">
      <w:pPr>
        <w:spacing w:after="0" w:line="240" w:lineRule="auto"/>
        <w:jc w:val="both"/>
        <w:rPr>
          <w:rFonts w:ascii="Arial" w:hAnsi="Arial" w:cs="Arial"/>
        </w:rPr>
      </w:pPr>
      <w:r w:rsidRPr="00C24AF1">
        <w:rPr>
          <w:rFonts w:ascii="Arial" w:hAnsi="Arial" w:cs="Arial"/>
        </w:rPr>
        <w:t>Curiel, O. (2017). Género, raza, sexualidad: debates contemporáneos. Intervenciones en Estudios Culturales, 3(4), 41–61.</w:t>
      </w:r>
    </w:p>
    <w:p w14:paraId="3C53FDCF" w14:textId="77777777" w:rsidR="00C24AF1" w:rsidRPr="00C24AF1" w:rsidRDefault="00C24AF1" w:rsidP="00734CF2">
      <w:pPr>
        <w:spacing w:after="0" w:line="240" w:lineRule="auto"/>
        <w:jc w:val="both"/>
        <w:rPr>
          <w:rFonts w:ascii="Arial" w:hAnsi="Arial" w:cs="Arial"/>
        </w:rPr>
      </w:pPr>
      <w:r w:rsidRPr="00C24AF1">
        <w:rPr>
          <w:rFonts w:ascii="Arial" w:hAnsi="Arial" w:cs="Arial"/>
        </w:rPr>
        <w:t>De Fina, D., y Figueroa, F. (2019). Nuevos “campos de acción política” feminista: Una mirada a las recientes movilizaciones en Chile. Revista Punto Género, (11), 51–71.</w:t>
      </w:r>
    </w:p>
    <w:p w14:paraId="7D3CC7CF" w14:textId="4DDC2924" w:rsidR="00C24AF1" w:rsidRPr="00C24AF1" w:rsidRDefault="00C24AF1" w:rsidP="00734CF2">
      <w:pPr>
        <w:spacing w:after="0" w:line="240" w:lineRule="auto"/>
        <w:jc w:val="both"/>
        <w:rPr>
          <w:rFonts w:ascii="Arial" w:hAnsi="Arial" w:cs="Arial"/>
        </w:rPr>
      </w:pPr>
      <w:r w:rsidRPr="00C24AF1">
        <w:rPr>
          <w:rFonts w:ascii="Arial" w:hAnsi="Arial" w:cs="Arial"/>
        </w:rPr>
        <w:t xml:space="preserve">Dinamarca-Noack, C., y Trujillo-Cristoffanini, M. (2021). Educación superior chilena y violencia de género: Demandas desde los feminismos universitarios. Revista Latinoamericana de Ciencias Sociales, Niñez y Juventud, 19(2), 191–212. </w:t>
      </w:r>
    </w:p>
    <w:p w14:paraId="1FCA59B2" w14:textId="77777777" w:rsidR="00C24AF1" w:rsidRPr="00C24AF1" w:rsidRDefault="00C24AF1" w:rsidP="00734CF2">
      <w:pPr>
        <w:spacing w:after="0" w:line="240" w:lineRule="auto"/>
        <w:jc w:val="both"/>
        <w:rPr>
          <w:rFonts w:ascii="Arial" w:hAnsi="Arial" w:cs="Arial"/>
        </w:rPr>
      </w:pPr>
      <w:proofErr w:type="spellStart"/>
      <w:r w:rsidRPr="00C24AF1">
        <w:rPr>
          <w:rFonts w:ascii="Arial" w:hAnsi="Arial" w:cs="Arial"/>
        </w:rPr>
        <w:t>Emirbayer</w:t>
      </w:r>
      <w:proofErr w:type="spellEnd"/>
      <w:r w:rsidRPr="00C24AF1">
        <w:rPr>
          <w:rFonts w:ascii="Arial" w:hAnsi="Arial" w:cs="Arial"/>
        </w:rPr>
        <w:t xml:space="preserve">, M., y Mische, A. (1998). </w:t>
      </w:r>
      <w:proofErr w:type="spellStart"/>
      <w:r w:rsidRPr="00C24AF1">
        <w:rPr>
          <w:rFonts w:ascii="Arial" w:hAnsi="Arial" w:cs="Arial"/>
        </w:rPr>
        <w:t>What</w:t>
      </w:r>
      <w:proofErr w:type="spellEnd"/>
      <w:r w:rsidRPr="00C24AF1">
        <w:rPr>
          <w:rFonts w:ascii="Arial" w:hAnsi="Arial" w:cs="Arial"/>
        </w:rPr>
        <w:t xml:space="preserve"> </w:t>
      </w:r>
      <w:proofErr w:type="spellStart"/>
      <w:r w:rsidRPr="00C24AF1">
        <w:rPr>
          <w:rFonts w:ascii="Arial" w:hAnsi="Arial" w:cs="Arial"/>
        </w:rPr>
        <w:t>is</w:t>
      </w:r>
      <w:proofErr w:type="spellEnd"/>
      <w:r w:rsidRPr="00C24AF1">
        <w:rPr>
          <w:rFonts w:ascii="Arial" w:hAnsi="Arial" w:cs="Arial"/>
        </w:rPr>
        <w:t xml:space="preserve"> </w:t>
      </w:r>
      <w:proofErr w:type="spellStart"/>
      <w:r w:rsidRPr="00C24AF1">
        <w:rPr>
          <w:rFonts w:ascii="Arial" w:hAnsi="Arial" w:cs="Arial"/>
        </w:rPr>
        <w:t>agency</w:t>
      </w:r>
      <w:proofErr w:type="spellEnd"/>
      <w:r w:rsidRPr="00C24AF1">
        <w:rPr>
          <w:rFonts w:ascii="Arial" w:hAnsi="Arial" w:cs="Arial"/>
        </w:rPr>
        <w:t xml:space="preserve">? American </w:t>
      </w:r>
      <w:proofErr w:type="spellStart"/>
      <w:r w:rsidRPr="00C24AF1">
        <w:rPr>
          <w:rFonts w:ascii="Arial" w:hAnsi="Arial" w:cs="Arial"/>
        </w:rPr>
        <w:t>Journal</w:t>
      </w:r>
      <w:proofErr w:type="spellEnd"/>
      <w:r w:rsidRPr="00C24AF1">
        <w:rPr>
          <w:rFonts w:ascii="Arial" w:hAnsi="Arial" w:cs="Arial"/>
        </w:rPr>
        <w:t xml:space="preserve"> </w:t>
      </w:r>
      <w:proofErr w:type="spellStart"/>
      <w:r w:rsidRPr="00C24AF1">
        <w:rPr>
          <w:rFonts w:ascii="Arial" w:hAnsi="Arial" w:cs="Arial"/>
        </w:rPr>
        <w:t>of</w:t>
      </w:r>
      <w:proofErr w:type="spellEnd"/>
      <w:r w:rsidRPr="00C24AF1">
        <w:rPr>
          <w:rFonts w:ascii="Arial" w:hAnsi="Arial" w:cs="Arial"/>
        </w:rPr>
        <w:t xml:space="preserve"> </w:t>
      </w:r>
      <w:proofErr w:type="spellStart"/>
      <w:r w:rsidRPr="00C24AF1">
        <w:rPr>
          <w:rFonts w:ascii="Arial" w:hAnsi="Arial" w:cs="Arial"/>
        </w:rPr>
        <w:t>Sociology</w:t>
      </w:r>
      <w:proofErr w:type="spellEnd"/>
      <w:r w:rsidRPr="00C24AF1">
        <w:rPr>
          <w:rFonts w:ascii="Arial" w:hAnsi="Arial" w:cs="Arial"/>
        </w:rPr>
        <w:t>, 103(4), 962–1023.</w:t>
      </w:r>
    </w:p>
    <w:p w14:paraId="30DFC121" w14:textId="4C986CF5" w:rsidR="00C24AF1" w:rsidRPr="00C24AF1" w:rsidRDefault="00C24AF1" w:rsidP="00734CF2">
      <w:pPr>
        <w:spacing w:after="0" w:line="240" w:lineRule="auto"/>
        <w:jc w:val="both"/>
        <w:rPr>
          <w:rFonts w:ascii="Arial" w:hAnsi="Arial" w:cs="Arial"/>
        </w:rPr>
      </w:pPr>
      <w:r w:rsidRPr="00C24AF1">
        <w:rPr>
          <w:rFonts w:ascii="Arial" w:hAnsi="Arial" w:cs="Arial"/>
        </w:rPr>
        <w:t xml:space="preserve">Hill Collins, P. (2000). Black </w:t>
      </w:r>
      <w:proofErr w:type="spellStart"/>
      <w:r w:rsidRPr="00C24AF1">
        <w:rPr>
          <w:rFonts w:ascii="Arial" w:hAnsi="Arial" w:cs="Arial"/>
        </w:rPr>
        <w:t>Feminist</w:t>
      </w:r>
      <w:proofErr w:type="spellEnd"/>
      <w:r w:rsidRPr="00C24AF1">
        <w:rPr>
          <w:rFonts w:ascii="Arial" w:hAnsi="Arial" w:cs="Arial"/>
        </w:rPr>
        <w:t xml:space="preserve"> </w:t>
      </w:r>
      <w:proofErr w:type="spellStart"/>
      <w:r w:rsidRPr="00C24AF1">
        <w:rPr>
          <w:rFonts w:ascii="Arial" w:hAnsi="Arial" w:cs="Arial"/>
        </w:rPr>
        <w:t>Thought</w:t>
      </w:r>
      <w:proofErr w:type="spellEnd"/>
      <w:r w:rsidRPr="00C24AF1">
        <w:rPr>
          <w:rFonts w:ascii="Arial" w:hAnsi="Arial" w:cs="Arial"/>
        </w:rPr>
        <w:t xml:space="preserve">: Knowledge, </w:t>
      </w:r>
      <w:proofErr w:type="spellStart"/>
      <w:r w:rsidRPr="00C24AF1">
        <w:rPr>
          <w:rFonts w:ascii="Arial" w:hAnsi="Arial" w:cs="Arial"/>
        </w:rPr>
        <w:t>Consciousness</w:t>
      </w:r>
      <w:proofErr w:type="spellEnd"/>
      <w:r w:rsidRPr="00C24AF1">
        <w:rPr>
          <w:rFonts w:ascii="Arial" w:hAnsi="Arial" w:cs="Arial"/>
        </w:rPr>
        <w:t xml:space="preserve">, and </w:t>
      </w:r>
      <w:proofErr w:type="spellStart"/>
      <w:r w:rsidRPr="00C24AF1">
        <w:rPr>
          <w:rFonts w:ascii="Arial" w:hAnsi="Arial" w:cs="Arial"/>
        </w:rPr>
        <w:t>the</w:t>
      </w:r>
      <w:proofErr w:type="spellEnd"/>
      <w:r w:rsidRPr="00C24AF1">
        <w:rPr>
          <w:rFonts w:ascii="Arial" w:hAnsi="Arial" w:cs="Arial"/>
        </w:rPr>
        <w:t xml:space="preserve"> </w:t>
      </w:r>
      <w:proofErr w:type="spellStart"/>
      <w:r w:rsidRPr="00C24AF1">
        <w:rPr>
          <w:rFonts w:ascii="Arial" w:hAnsi="Arial" w:cs="Arial"/>
        </w:rPr>
        <w:t>Politics</w:t>
      </w:r>
      <w:proofErr w:type="spellEnd"/>
      <w:r w:rsidRPr="00C24AF1">
        <w:rPr>
          <w:rFonts w:ascii="Arial" w:hAnsi="Arial" w:cs="Arial"/>
        </w:rPr>
        <w:t xml:space="preserve"> </w:t>
      </w:r>
      <w:proofErr w:type="spellStart"/>
      <w:r w:rsidRPr="00C24AF1">
        <w:rPr>
          <w:rFonts w:ascii="Arial" w:hAnsi="Arial" w:cs="Arial"/>
        </w:rPr>
        <w:t>of</w:t>
      </w:r>
      <w:proofErr w:type="spellEnd"/>
      <w:r w:rsidRPr="00C24AF1">
        <w:rPr>
          <w:rFonts w:ascii="Arial" w:hAnsi="Arial" w:cs="Arial"/>
        </w:rPr>
        <w:t xml:space="preserve"> </w:t>
      </w:r>
      <w:proofErr w:type="spellStart"/>
      <w:r w:rsidRPr="00C24AF1">
        <w:rPr>
          <w:rFonts w:ascii="Arial" w:hAnsi="Arial" w:cs="Arial"/>
        </w:rPr>
        <w:t>Empowerment</w:t>
      </w:r>
      <w:proofErr w:type="spellEnd"/>
      <w:r w:rsidRPr="00C24AF1">
        <w:rPr>
          <w:rFonts w:ascii="Arial" w:hAnsi="Arial" w:cs="Arial"/>
        </w:rPr>
        <w:t xml:space="preserve">. </w:t>
      </w:r>
      <w:r w:rsidR="005413DC">
        <w:rPr>
          <w:rFonts w:ascii="Arial" w:hAnsi="Arial" w:cs="Arial"/>
        </w:rPr>
        <w:t xml:space="preserve">Nueva York: </w:t>
      </w:r>
      <w:r w:rsidRPr="00C24AF1">
        <w:rPr>
          <w:rFonts w:ascii="Arial" w:hAnsi="Arial" w:cs="Arial"/>
        </w:rPr>
        <w:t>Routledge.</w:t>
      </w:r>
    </w:p>
    <w:p w14:paraId="1300E310" w14:textId="77777777" w:rsidR="00C24AF1" w:rsidRPr="00C24AF1" w:rsidRDefault="00C24AF1" w:rsidP="00734CF2">
      <w:pPr>
        <w:spacing w:after="0" w:line="240" w:lineRule="auto"/>
        <w:jc w:val="both"/>
        <w:rPr>
          <w:rFonts w:ascii="Arial" w:hAnsi="Arial" w:cs="Arial"/>
        </w:rPr>
      </w:pPr>
      <w:r w:rsidRPr="00C24AF1">
        <w:rPr>
          <w:rFonts w:ascii="Arial" w:hAnsi="Arial" w:cs="Arial"/>
        </w:rPr>
        <w:t>Hiner, H., y López Dietz, A. (2021). ¡Nunca más solas! Acoso sexual, tsunami feminista, y nuevas coaliciones dentro y fuera de las universidades chilenas. Polis. Revista Latinoamericana, 20(59), 122–146.</w:t>
      </w:r>
    </w:p>
    <w:p w14:paraId="241388A6" w14:textId="77777777" w:rsidR="00C24AF1" w:rsidRPr="00C24AF1" w:rsidRDefault="00C24AF1" w:rsidP="00734CF2">
      <w:pPr>
        <w:spacing w:after="0" w:line="240" w:lineRule="auto"/>
        <w:jc w:val="both"/>
        <w:rPr>
          <w:rFonts w:ascii="Arial" w:hAnsi="Arial" w:cs="Arial"/>
        </w:rPr>
      </w:pPr>
      <w:r w:rsidRPr="00C24AF1">
        <w:rPr>
          <w:rFonts w:ascii="Arial" w:hAnsi="Arial" w:cs="Arial"/>
        </w:rPr>
        <w:t xml:space="preserve">Lugones, M. (2008). </w:t>
      </w:r>
      <w:proofErr w:type="spellStart"/>
      <w:r w:rsidRPr="00C24AF1">
        <w:rPr>
          <w:rFonts w:ascii="Arial" w:hAnsi="Arial" w:cs="Arial"/>
        </w:rPr>
        <w:t>Colonialidad</w:t>
      </w:r>
      <w:proofErr w:type="spellEnd"/>
      <w:r w:rsidRPr="00C24AF1">
        <w:rPr>
          <w:rFonts w:ascii="Arial" w:hAnsi="Arial" w:cs="Arial"/>
        </w:rPr>
        <w:t xml:space="preserve"> y género. Tabula Rasa, (9), 73–101.</w:t>
      </w:r>
    </w:p>
    <w:p w14:paraId="1C6E05C0" w14:textId="60233EA8" w:rsidR="00C24AF1" w:rsidRPr="00C24AF1" w:rsidRDefault="00C24AF1" w:rsidP="00734CF2">
      <w:pPr>
        <w:spacing w:after="0" w:line="240" w:lineRule="auto"/>
        <w:jc w:val="both"/>
        <w:rPr>
          <w:rFonts w:ascii="Arial" w:hAnsi="Arial" w:cs="Arial"/>
        </w:rPr>
      </w:pPr>
      <w:r w:rsidRPr="00C24AF1">
        <w:rPr>
          <w:rFonts w:ascii="Arial" w:hAnsi="Arial" w:cs="Arial"/>
        </w:rPr>
        <w:t xml:space="preserve">Martuccelli, D., y de </w:t>
      </w:r>
      <w:proofErr w:type="spellStart"/>
      <w:r w:rsidRPr="00C24AF1">
        <w:rPr>
          <w:rFonts w:ascii="Arial" w:hAnsi="Arial" w:cs="Arial"/>
        </w:rPr>
        <w:t>Singly</w:t>
      </w:r>
      <w:proofErr w:type="spellEnd"/>
      <w:r w:rsidRPr="00C24AF1">
        <w:rPr>
          <w:rFonts w:ascii="Arial" w:hAnsi="Arial" w:cs="Arial"/>
        </w:rPr>
        <w:t xml:space="preserve">, F. (2012). La sociología del individuo. </w:t>
      </w:r>
      <w:r w:rsidR="00246019">
        <w:rPr>
          <w:rFonts w:ascii="Arial" w:hAnsi="Arial" w:cs="Arial"/>
        </w:rPr>
        <w:t xml:space="preserve">Santiago de Chile: </w:t>
      </w:r>
      <w:r w:rsidRPr="00C24AF1">
        <w:rPr>
          <w:rFonts w:ascii="Arial" w:hAnsi="Arial" w:cs="Arial"/>
        </w:rPr>
        <w:t>LOM.</w:t>
      </w:r>
    </w:p>
    <w:p w14:paraId="43DF4821" w14:textId="77777777" w:rsidR="00C24AF1" w:rsidRPr="00C24AF1" w:rsidRDefault="00C24AF1" w:rsidP="00734CF2">
      <w:pPr>
        <w:spacing w:after="0" w:line="240" w:lineRule="auto"/>
        <w:jc w:val="both"/>
        <w:rPr>
          <w:rFonts w:ascii="Arial" w:hAnsi="Arial" w:cs="Arial"/>
        </w:rPr>
      </w:pPr>
      <w:r w:rsidRPr="00C24AF1">
        <w:rPr>
          <w:rFonts w:ascii="Arial" w:hAnsi="Arial" w:cs="Arial"/>
        </w:rPr>
        <w:t xml:space="preserve">McNay, L. (2003). Agency, </w:t>
      </w:r>
      <w:proofErr w:type="spellStart"/>
      <w:r w:rsidRPr="00C24AF1">
        <w:rPr>
          <w:rFonts w:ascii="Arial" w:hAnsi="Arial" w:cs="Arial"/>
        </w:rPr>
        <w:t>anticipation</w:t>
      </w:r>
      <w:proofErr w:type="spellEnd"/>
      <w:r w:rsidRPr="00C24AF1">
        <w:rPr>
          <w:rFonts w:ascii="Arial" w:hAnsi="Arial" w:cs="Arial"/>
        </w:rPr>
        <w:t xml:space="preserve"> and </w:t>
      </w:r>
      <w:proofErr w:type="spellStart"/>
      <w:r w:rsidRPr="00C24AF1">
        <w:rPr>
          <w:rFonts w:ascii="Arial" w:hAnsi="Arial" w:cs="Arial"/>
        </w:rPr>
        <w:t>indeterminacy</w:t>
      </w:r>
      <w:proofErr w:type="spellEnd"/>
      <w:r w:rsidRPr="00C24AF1">
        <w:rPr>
          <w:rFonts w:ascii="Arial" w:hAnsi="Arial" w:cs="Arial"/>
        </w:rPr>
        <w:t xml:space="preserve"> in </w:t>
      </w:r>
      <w:proofErr w:type="spellStart"/>
      <w:r w:rsidRPr="00C24AF1">
        <w:rPr>
          <w:rFonts w:ascii="Arial" w:hAnsi="Arial" w:cs="Arial"/>
        </w:rPr>
        <w:t>feminist</w:t>
      </w:r>
      <w:proofErr w:type="spellEnd"/>
      <w:r w:rsidRPr="00C24AF1">
        <w:rPr>
          <w:rFonts w:ascii="Arial" w:hAnsi="Arial" w:cs="Arial"/>
        </w:rPr>
        <w:t xml:space="preserve"> </w:t>
      </w:r>
      <w:proofErr w:type="spellStart"/>
      <w:r w:rsidRPr="00C24AF1">
        <w:rPr>
          <w:rFonts w:ascii="Arial" w:hAnsi="Arial" w:cs="Arial"/>
        </w:rPr>
        <w:t>theory</w:t>
      </w:r>
      <w:proofErr w:type="spellEnd"/>
      <w:r w:rsidRPr="00C24AF1">
        <w:rPr>
          <w:rFonts w:ascii="Arial" w:hAnsi="Arial" w:cs="Arial"/>
        </w:rPr>
        <w:t xml:space="preserve">. </w:t>
      </w:r>
      <w:proofErr w:type="spellStart"/>
      <w:r w:rsidRPr="00C24AF1">
        <w:rPr>
          <w:rFonts w:ascii="Arial" w:hAnsi="Arial" w:cs="Arial"/>
        </w:rPr>
        <w:t>Feminist</w:t>
      </w:r>
      <w:proofErr w:type="spellEnd"/>
      <w:r w:rsidRPr="00C24AF1">
        <w:rPr>
          <w:rFonts w:ascii="Arial" w:hAnsi="Arial" w:cs="Arial"/>
        </w:rPr>
        <w:t xml:space="preserve"> Theory, 4(2), 139–148.</w:t>
      </w:r>
    </w:p>
    <w:p w14:paraId="67DEE85C" w14:textId="27E37319" w:rsidR="00C24AF1" w:rsidRPr="00C24AF1" w:rsidRDefault="00C24AF1" w:rsidP="00734CF2">
      <w:pPr>
        <w:spacing w:after="0" w:line="240" w:lineRule="auto"/>
        <w:jc w:val="both"/>
        <w:rPr>
          <w:rFonts w:ascii="Arial" w:hAnsi="Arial" w:cs="Arial"/>
        </w:rPr>
      </w:pPr>
      <w:r w:rsidRPr="00C24AF1">
        <w:rPr>
          <w:rFonts w:ascii="Arial" w:hAnsi="Arial" w:cs="Arial"/>
        </w:rPr>
        <w:t xml:space="preserve">McNay, L. (2004). Agency and </w:t>
      </w:r>
      <w:proofErr w:type="spellStart"/>
      <w:r w:rsidRPr="00C24AF1">
        <w:rPr>
          <w:rFonts w:ascii="Arial" w:hAnsi="Arial" w:cs="Arial"/>
        </w:rPr>
        <w:t>experience</w:t>
      </w:r>
      <w:proofErr w:type="spellEnd"/>
      <w:r w:rsidRPr="00C24AF1">
        <w:rPr>
          <w:rFonts w:ascii="Arial" w:hAnsi="Arial" w:cs="Arial"/>
        </w:rPr>
        <w:t xml:space="preserve">: Gender as a </w:t>
      </w:r>
      <w:proofErr w:type="spellStart"/>
      <w:r w:rsidRPr="00C24AF1">
        <w:rPr>
          <w:rFonts w:ascii="Arial" w:hAnsi="Arial" w:cs="Arial"/>
        </w:rPr>
        <w:t>lived</w:t>
      </w:r>
      <w:proofErr w:type="spellEnd"/>
      <w:r w:rsidRPr="00C24AF1">
        <w:rPr>
          <w:rFonts w:ascii="Arial" w:hAnsi="Arial" w:cs="Arial"/>
        </w:rPr>
        <w:t xml:space="preserve"> </w:t>
      </w:r>
      <w:proofErr w:type="spellStart"/>
      <w:r w:rsidRPr="00C24AF1">
        <w:rPr>
          <w:rFonts w:ascii="Arial" w:hAnsi="Arial" w:cs="Arial"/>
        </w:rPr>
        <w:t>relation</w:t>
      </w:r>
      <w:proofErr w:type="spellEnd"/>
      <w:r w:rsidRPr="00C24AF1">
        <w:rPr>
          <w:rFonts w:ascii="Arial" w:hAnsi="Arial" w:cs="Arial"/>
        </w:rPr>
        <w:t xml:space="preserve">. The </w:t>
      </w:r>
      <w:proofErr w:type="spellStart"/>
      <w:r w:rsidRPr="00C24AF1">
        <w:rPr>
          <w:rFonts w:ascii="Arial" w:hAnsi="Arial" w:cs="Arial"/>
        </w:rPr>
        <w:t>Sociological</w:t>
      </w:r>
      <w:proofErr w:type="spellEnd"/>
      <w:r w:rsidRPr="00C24AF1">
        <w:rPr>
          <w:rFonts w:ascii="Arial" w:hAnsi="Arial" w:cs="Arial"/>
        </w:rPr>
        <w:t xml:space="preserve"> </w:t>
      </w:r>
      <w:proofErr w:type="spellStart"/>
      <w:r w:rsidRPr="00C24AF1">
        <w:rPr>
          <w:rFonts w:ascii="Arial" w:hAnsi="Arial" w:cs="Arial"/>
        </w:rPr>
        <w:t>Review</w:t>
      </w:r>
      <w:proofErr w:type="spellEnd"/>
      <w:r w:rsidRPr="00C24AF1">
        <w:rPr>
          <w:rFonts w:ascii="Arial" w:hAnsi="Arial" w:cs="Arial"/>
        </w:rPr>
        <w:t>, 52, 175–190.</w:t>
      </w:r>
    </w:p>
    <w:p w14:paraId="6D851179" w14:textId="77777777" w:rsidR="00C24AF1" w:rsidRPr="00C24AF1" w:rsidRDefault="00C24AF1" w:rsidP="00734CF2">
      <w:pPr>
        <w:spacing w:after="0" w:line="240" w:lineRule="auto"/>
        <w:jc w:val="both"/>
        <w:rPr>
          <w:rFonts w:ascii="Arial" w:hAnsi="Arial" w:cs="Arial"/>
        </w:rPr>
      </w:pPr>
      <w:r w:rsidRPr="00C24AF1">
        <w:rPr>
          <w:rFonts w:ascii="Arial" w:hAnsi="Arial" w:cs="Arial"/>
        </w:rPr>
        <w:t xml:space="preserve">Sewell, W. H., Jr. (1992). A </w:t>
      </w:r>
      <w:proofErr w:type="spellStart"/>
      <w:r w:rsidRPr="00C24AF1">
        <w:rPr>
          <w:rFonts w:ascii="Arial" w:hAnsi="Arial" w:cs="Arial"/>
        </w:rPr>
        <w:t>theory</w:t>
      </w:r>
      <w:proofErr w:type="spellEnd"/>
      <w:r w:rsidRPr="00C24AF1">
        <w:rPr>
          <w:rFonts w:ascii="Arial" w:hAnsi="Arial" w:cs="Arial"/>
        </w:rPr>
        <w:t xml:space="preserve"> </w:t>
      </w:r>
      <w:proofErr w:type="spellStart"/>
      <w:r w:rsidRPr="00C24AF1">
        <w:rPr>
          <w:rFonts w:ascii="Arial" w:hAnsi="Arial" w:cs="Arial"/>
        </w:rPr>
        <w:t>of</w:t>
      </w:r>
      <w:proofErr w:type="spellEnd"/>
      <w:r w:rsidRPr="00C24AF1">
        <w:rPr>
          <w:rFonts w:ascii="Arial" w:hAnsi="Arial" w:cs="Arial"/>
        </w:rPr>
        <w:t xml:space="preserve"> </w:t>
      </w:r>
      <w:proofErr w:type="spellStart"/>
      <w:r w:rsidRPr="00C24AF1">
        <w:rPr>
          <w:rFonts w:ascii="Arial" w:hAnsi="Arial" w:cs="Arial"/>
        </w:rPr>
        <w:t>structure</w:t>
      </w:r>
      <w:proofErr w:type="spellEnd"/>
      <w:r w:rsidRPr="00C24AF1">
        <w:rPr>
          <w:rFonts w:ascii="Arial" w:hAnsi="Arial" w:cs="Arial"/>
        </w:rPr>
        <w:t xml:space="preserve">: </w:t>
      </w:r>
      <w:proofErr w:type="spellStart"/>
      <w:r w:rsidRPr="00C24AF1">
        <w:rPr>
          <w:rFonts w:ascii="Arial" w:hAnsi="Arial" w:cs="Arial"/>
        </w:rPr>
        <w:t>Duality</w:t>
      </w:r>
      <w:proofErr w:type="spellEnd"/>
      <w:r w:rsidRPr="00C24AF1">
        <w:rPr>
          <w:rFonts w:ascii="Arial" w:hAnsi="Arial" w:cs="Arial"/>
        </w:rPr>
        <w:t xml:space="preserve">, </w:t>
      </w:r>
      <w:proofErr w:type="spellStart"/>
      <w:r w:rsidRPr="00C24AF1">
        <w:rPr>
          <w:rFonts w:ascii="Arial" w:hAnsi="Arial" w:cs="Arial"/>
        </w:rPr>
        <w:t>agency</w:t>
      </w:r>
      <w:proofErr w:type="spellEnd"/>
      <w:r w:rsidRPr="00C24AF1">
        <w:rPr>
          <w:rFonts w:ascii="Arial" w:hAnsi="Arial" w:cs="Arial"/>
        </w:rPr>
        <w:t xml:space="preserve">, and </w:t>
      </w:r>
      <w:proofErr w:type="spellStart"/>
      <w:r w:rsidRPr="00C24AF1">
        <w:rPr>
          <w:rFonts w:ascii="Arial" w:hAnsi="Arial" w:cs="Arial"/>
        </w:rPr>
        <w:t>transformation</w:t>
      </w:r>
      <w:proofErr w:type="spellEnd"/>
      <w:r w:rsidRPr="00C24AF1">
        <w:rPr>
          <w:rFonts w:ascii="Arial" w:hAnsi="Arial" w:cs="Arial"/>
        </w:rPr>
        <w:t xml:space="preserve">. American </w:t>
      </w:r>
      <w:proofErr w:type="spellStart"/>
      <w:r w:rsidRPr="00C24AF1">
        <w:rPr>
          <w:rFonts w:ascii="Arial" w:hAnsi="Arial" w:cs="Arial"/>
        </w:rPr>
        <w:t>Journal</w:t>
      </w:r>
      <w:proofErr w:type="spellEnd"/>
      <w:r w:rsidRPr="00C24AF1">
        <w:rPr>
          <w:rFonts w:ascii="Arial" w:hAnsi="Arial" w:cs="Arial"/>
        </w:rPr>
        <w:t xml:space="preserve"> </w:t>
      </w:r>
      <w:proofErr w:type="spellStart"/>
      <w:r w:rsidRPr="00C24AF1">
        <w:rPr>
          <w:rFonts w:ascii="Arial" w:hAnsi="Arial" w:cs="Arial"/>
        </w:rPr>
        <w:t>of</w:t>
      </w:r>
      <w:proofErr w:type="spellEnd"/>
      <w:r w:rsidRPr="00C24AF1">
        <w:rPr>
          <w:rFonts w:ascii="Arial" w:hAnsi="Arial" w:cs="Arial"/>
        </w:rPr>
        <w:t xml:space="preserve"> </w:t>
      </w:r>
      <w:proofErr w:type="spellStart"/>
      <w:r w:rsidRPr="00C24AF1">
        <w:rPr>
          <w:rFonts w:ascii="Arial" w:hAnsi="Arial" w:cs="Arial"/>
        </w:rPr>
        <w:t>Sociology</w:t>
      </w:r>
      <w:proofErr w:type="spellEnd"/>
      <w:r w:rsidRPr="00C24AF1">
        <w:rPr>
          <w:rFonts w:ascii="Arial" w:hAnsi="Arial" w:cs="Arial"/>
        </w:rPr>
        <w:t>, 98(1), 1–29.</w:t>
      </w:r>
    </w:p>
    <w:p w14:paraId="34D6A856" w14:textId="7CE1C4B8" w:rsidR="00C86D46" w:rsidRPr="00C86D46" w:rsidRDefault="00094549" w:rsidP="00C86D46">
      <w:pPr>
        <w:tabs>
          <w:tab w:val="left" w:pos="1950"/>
        </w:tabs>
      </w:pPr>
      <w:r w:rsidRPr="00B674DC">
        <w:rPr>
          <w:noProof/>
        </w:rPr>
        <w:drawing>
          <wp:anchor distT="0" distB="0" distL="114300" distR="114300" simplePos="0" relativeHeight="251661312" behindDoc="0" locked="0" layoutInCell="1" allowOverlap="1" wp14:anchorId="6FC5DBF4" wp14:editId="652CA5CE">
            <wp:simplePos x="0" y="0"/>
            <wp:positionH relativeFrom="page">
              <wp:posOffset>-66675</wp:posOffset>
            </wp:positionH>
            <wp:positionV relativeFrom="page">
              <wp:posOffset>9722553</wp:posOffset>
            </wp:positionV>
            <wp:extent cx="7757079" cy="9550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757079" cy="955040"/>
                    </a:xfrm>
                    <a:prstGeom prst="rect">
                      <a:avLst/>
                    </a:prstGeom>
                  </pic:spPr>
                </pic:pic>
              </a:graphicData>
            </a:graphic>
            <wp14:sizeRelH relativeFrom="margin">
              <wp14:pctWidth>0</wp14:pctWidth>
            </wp14:sizeRelH>
            <wp14:sizeRelV relativeFrom="margin">
              <wp14:pctHeight>0</wp14:pctHeight>
            </wp14:sizeRelV>
          </wp:anchor>
        </w:drawing>
      </w:r>
    </w:p>
    <w:sectPr w:rsidR="00C86D46" w:rsidRPr="00C86D46" w:rsidSect="00163FE4">
      <w:pgSz w:w="11906" w:h="16838"/>
      <w:pgMar w:top="1701"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0EE"/>
    <w:multiLevelType w:val="hybridMultilevel"/>
    <w:tmpl w:val="7C5C4B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9B2885"/>
    <w:multiLevelType w:val="hybridMultilevel"/>
    <w:tmpl w:val="8AC88C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99599B"/>
    <w:multiLevelType w:val="hybridMultilevel"/>
    <w:tmpl w:val="87E49B62"/>
    <w:lvl w:ilvl="0" w:tplc="B09833AC">
      <w:start w:val="1"/>
      <w:numFmt w:val="bullet"/>
      <w:lvlText w:val="–"/>
      <w:lvlJc w:val="left"/>
      <w:pPr>
        <w:ind w:left="720" w:hanging="360"/>
      </w:pPr>
      <w:rPr>
        <w:rFonts w:ascii="Garamond" w:hAnsi="Garamond" w:hint="default"/>
      </w:rPr>
    </w:lvl>
    <w:lvl w:ilvl="1" w:tplc="FFFFFFFF">
      <w:start w:val="1"/>
      <w:numFmt w:val="bullet"/>
      <w:lvlText w:val="o"/>
      <w:lvlJc w:val="left"/>
      <w:pPr>
        <w:ind w:left="1440" w:hanging="360"/>
      </w:pPr>
      <w:rPr>
        <w:rFonts w:ascii="Courier New" w:hAnsi="Courier New" w:cs="Courier New" w:hint="default"/>
      </w:rPr>
    </w:lvl>
    <w:lvl w:ilvl="2" w:tplc="812AB09C">
      <w:start w:val="1"/>
      <w:numFmt w:val="bullet"/>
      <w:lvlText w:val="•"/>
      <w:lvlJc w:val="left"/>
      <w:pPr>
        <w:ind w:left="2505" w:hanging="705"/>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B702D5"/>
    <w:multiLevelType w:val="multilevel"/>
    <w:tmpl w:val="BCEE6FE6"/>
    <w:lvl w:ilvl="0">
      <w:start w:val="1"/>
      <w:numFmt w:val="decimal"/>
      <w:lvlText w:val="%1."/>
      <w:lvlJc w:val="left"/>
      <w:pPr>
        <w:ind w:left="705" w:hanging="705"/>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55D478FC"/>
    <w:multiLevelType w:val="hybridMultilevel"/>
    <w:tmpl w:val="492442E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426595"/>
    <w:multiLevelType w:val="hybridMultilevel"/>
    <w:tmpl w:val="C37E6BE2"/>
    <w:lvl w:ilvl="0" w:tplc="B09833AC">
      <w:start w:val="1"/>
      <w:numFmt w:val="bullet"/>
      <w:lvlText w:val="–"/>
      <w:lvlJc w:val="left"/>
      <w:pPr>
        <w:ind w:left="720" w:hanging="360"/>
      </w:pPr>
      <w:rPr>
        <w:rFonts w:ascii="Garamond" w:hAnsi="Garamond"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D531403"/>
    <w:multiLevelType w:val="hybridMultilevel"/>
    <w:tmpl w:val="3B023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3C3C69"/>
    <w:multiLevelType w:val="hybridMultilevel"/>
    <w:tmpl w:val="F7948E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1058266">
    <w:abstractNumId w:val="1"/>
  </w:num>
  <w:num w:numId="2" w16cid:durableId="776951867">
    <w:abstractNumId w:val="0"/>
  </w:num>
  <w:num w:numId="3" w16cid:durableId="683215440">
    <w:abstractNumId w:val="7"/>
  </w:num>
  <w:num w:numId="4" w16cid:durableId="388726771">
    <w:abstractNumId w:val="3"/>
  </w:num>
  <w:num w:numId="5" w16cid:durableId="1446581733">
    <w:abstractNumId w:val="2"/>
  </w:num>
  <w:num w:numId="6" w16cid:durableId="654183913">
    <w:abstractNumId w:val="5"/>
  </w:num>
  <w:num w:numId="7" w16cid:durableId="1034649028">
    <w:abstractNumId w:val="4"/>
  </w:num>
  <w:num w:numId="8" w16cid:durableId="1108744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46"/>
    <w:rsid w:val="00046DB4"/>
    <w:rsid w:val="00094549"/>
    <w:rsid w:val="000E7429"/>
    <w:rsid w:val="00163FE4"/>
    <w:rsid w:val="0018694F"/>
    <w:rsid w:val="001A6227"/>
    <w:rsid w:val="001D0D87"/>
    <w:rsid w:val="00246019"/>
    <w:rsid w:val="00266769"/>
    <w:rsid w:val="003068B0"/>
    <w:rsid w:val="0038392E"/>
    <w:rsid w:val="00397531"/>
    <w:rsid w:val="003A0E2C"/>
    <w:rsid w:val="003B3AC5"/>
    <w:rsid w:val="003C35C9"/>
    <w:rsid w:val="003E143B"/>
    <w:rsid w:val="003E29B0"/>
    <w:rsid w:val="00491A43"/>
    <w:rsid w:val="004A5B9C"/>
    <w:rsid w:val="004F71D1"/>
    <w:rsid w:val="005413DC"/>
    <w:rsid w:val="00561028"/>
    <w:rsid w:val="005B2170"/>
    <w:rsid w:val="006342C9"/>
    <w:rsid w:val="0071439D"/>
    <w:rsid w:val="00734CF2"/>
    <w:rsid w:val="00782CF2"/>
    <w:rsid w:val="00787E5E"/>
    <w:rsid w:val="007A793C"/>
    <w:rsid w:val="00804CBB"/>
    <w:rsid w:val="008353A4"/>
    <w:rsid w:val="008742B9"/>
    <w:rsid w:val="00894EBE"/>
    <w:rsid w:val="008D6E5A"/>
    <w:rsid w:val="009440B1"/>
    <w:rsid w:val="009A11CA"/>
    <w:rsid w:val="009F4CE4"/>
    <w:rsid w:val="00B068CE"/>
    <w:rsid w:val="00B5293E"/>
    <w:rsid w:val="00B63128"/>
    <w:rsid w:val="00BC706A"/>
    <w:rsid w:val="00BD7B8D"/>
    <w:rsid w:val="00BE2AE7"/>
    <w:rsid w:val="00BE3374"/>
    <w:rsid w:val="00C24AF1"/>
    <w:rsid w:val="00C45E7A"/>
    <w:rsid w:val="00C86D46"/>
    <w:rsid w:val="00D273E4"/>
    <w:rsid w:val="00D865E7"/>
    <w:rsid w:val="00DA7345"/>
    <w:rsid w:val="00DC4071"/>
    <w:rsid w:val="00E22A4C"/>
    <w:rsid w:val="00E33DD3"/>
    <w:rsid w:val="00FE3881"/>
    <w:rsid w:val="00FF7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1F0F"/>
  <w15:chartTrackingRefBased/>
  <w15:docId w15:val="{77A74AC5-4F84-4F5E-BCEA-5F66006A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D0D87"/>
    <w:rPr>
      <w:u w:val="single"/>
    </w:rPr>
  </w:style>
  <w:style w:type="paragraph" w:styleId="Prrafodelista">
    <w:name w:val="List Paragraph"/>
    <w:basedOn w:val="Normal"/>
    <w:uiPriority w:val="34"/>
    <w:qFormat/>
    <w:rsid w:val="001D0D87"/>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lang w:val="en-US" w:eastAsia="en-US"/>
      <w14:ligatures w14:val="none"/>
    </w:rPr>
  </w:style>
  <w:style w:type="paragraph" w:customStyle="1" w:styleId="Cuerpo">
    <w:name w:val="Cuerpo"/>
    <w:rsid w:val="00B068C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s-ES_tradnl"/>
      <w14:ligatures w14:val="none"/>
    </w:rPr>
  </w:style>
  <w:style w:type="character" w:customStyle="1" w:styleId="Ninguno">
    <w:name w:val="Ninguno"/>
    <w:rsid w:val="00B068CE"/>
    <w:rPr>
      <w:lang w:val="es-ES_tradnl"/>
    </w:rPr>
  </w:style>
  <w:style w:type="paragraph" w:customStyle="1" w:styleId="Poromisin">
    <w:name w:val="Por omisión"/>
    <w:rsid w:val="00B068CE"/>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14:ligatures w14:val="none"/>
    </w:rPr>
  </w:style>
  <w:style w:type="character" w:customStyle="1" w:styleId="Hyperlink0">
    <w:name w:val="Hyperlink.0"/>
    <w:rsid w:val="00B068CE"/>
    <w:rPr>
      <w:color w:val="0000FF"/>
      <w:sz w:val="22"/>
      <w:szCs w:val="22"/>
      <w:u w:val="single" w:color="0000FF"/>
      <w:lang w:val="es-ES_tradnl"/>
    </w:rPr>
  </w:style>
  <w:style w:type="character" w:styleId="Mencinsinresolver">
    <w:name w:val="Unresolved Mention"/>
    <w:basedOn w:val="Fuentedeprrafopredeter"/>
    <w:uiPriority w:val="99"/>
    <w:semiHidden/>
    <w:unhideWhenUsed/>
    <w:rsid w:val="00BD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bcecf1-4e4f-4012-b32b-f1dfd1829a30" xsi:nil="true"/>
    <lcf76f155ced4ddcb4097134ff3c332f xmlns="3cfc0b79-8c16-4499-a664-71a1564ec6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045FBB2B5DBD459A5C2FA5585895A9" ma:contentTypeVersion="14" ma:contentTypeDescription="Crear nuevo documento." ma:contentTypeScope="" ma:versionID="597828c234f0eb0222493bc2bdf437d4">
  <xsd:schema xmlns:xsd="http://www.w3.org/2001/XMLSchema" xmlns:xs="http://www.w3.org/2001/XMLSchema" xmlns:p="http://schemas.microsoft.com/office/2006/metadata/properties" xmlns:ns2="3cfc0b79-8c16-4499-a664-71a1564ec6b6" xmlns:ns3="1dbcecf1-4e4f-4012-b32b-f1dfd1829a30" targetNamespace="http://schemas.microsoft.com/office/2006/metadata/properties" ma:root="true" ma:fieldsID="5860895d2bd49fc17a1728879cede04c" ns2:_="" ns3:_="">
    <xsd:import namespace="3cfc0b79-8c16-4499-a664-71a1564ec6b6"/>
    <xsd:import namespace="1dbcecf1-4e4f-4012-b32b-f1dfd1829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c0b79-8c16-4499-a664-71a1564ec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522dc24-96cd-417c-b653-1aec5a399f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bcecf1-4e4f-4012-b32b-f1dfd1829a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c26f81-ee67-44b7-b9f6-f2791b7c2fcf}" ma:internalName="TaxCatchAll" ma:showField="CatchAllData" ma:web="1dbcecf1-4e4f-4012-b32b-f1dfd182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464EF-2C97-4E0D-AF0D-C04C257D25C9}">
  <ds:schemaRefs>
    <ds:schemaRef ds:uri="http://schemas.microsoft.com/office/2006/metadata/properties"/>
    <ds:schemaRef ds:uri="http://schemas.microsoft.com/office/infopath/2007/PartnerControls"/>
    <ds:schemaRef ds:uri="1dbcecf1-4e4f-4012-b32b-f1dfd1829a30"/>
    <ds:schemaRef ds:uri="3cfc0b79-8c16-4499-a664-71a1564ec6b6"/>
  </ds:schemaRefs>
</ds:datastoreItem>
</file>

<file path=customXml/itemProps2.xml><?xml version="1.0" encoding="utf-8"?>
<ds:datastoreItem xmlns:ds="http://schemas.openxmlformats.org/officeDocument/2006/customXml" ds:itemID="{5ED6679D-1C5B-424F-AD90-5BEA1381B6E8}">
  <ds:schemaRefs>
    <ds:schemaRef ds:uri="http://schemas.microsoft.com/sharepoint/v3/contenttype/forms"/>
  </ds:schemaRefs>
</ds:datastoreItem>
</file>

<file path=customXml/itemProps3.xml><?xml version="1.0" encoding="utf-8"?>
<ds:datastoreItem xmlns:ds="http://schemas.openxmlformats.org/officeDocument/2006/customXml" ds:itemID="{27911DBA-9FEE-4B36-BA0B-EB2DB242F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c0b79-8c16-4499-a664-71a1564ec6b6"/>
    <ds:schemaRef ds:uri="1dbcecf1-4e4f-4012-b32b-f1dfd182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1499</Words>
  <Characters>9371</Characters>
  <Application>Microsoft Office Word</Application>
  <DocSecurity>0</DocSecurity>
  <Lines>147</Lines>
  <Paragraphs>37</Paragraphs>
  <ScaleCrop>false</ScaleCrop>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García García</dc:creator>
  <cp:keywords/>
  <dc:description/>
  <cp:lastModifiedBy>Helena Román Alonso</cp:lastModifiedBy>
  <cp:revision>33</cp:revision>
  <dcterms:created xsi:type="dcterms:W3CDTF">2025-10-28T10:09:00Z</dcterms:created>
  <dcterms:modified xsi:type="dcterms:W3CDTF">2026-03-06T17:08:00Z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0x010100D7045FBB2B5DBD459A5C2FA5585895A9</vt:lpwstr>
  </property>
</Properties>
</file>